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CA1780" w14:textId="59961959" w:rsidR="007F7B0F" w:rsidRPr="003C3536" w:rsidRDefault="00D318BA" w:rsidP="001715ED">
      <w:pPr>
        <w:rPr>
          <w:rFonts w:ascii="Nunito Sans Light" w:hAnsi="Nunito Sans Light"/>
          <w:sz w:val="24"/>
          <w:szCs w:val="24"/>
        </w:rPr>
      </w:pPr>
      <w:r w:rsidRPr="003C3536">
        <w:rPr>
          <w:rFonts w:ascii="Nunito Sans Light" w:hAnsi="Nunito Sans Light"/>
          <w:b/>
          <w:bCs/>
          <w:sz w:val="24"/>
          <w:szCs w:val="24"/>
        </w:rPr>
        <w:t>Global Tax Transparency</w:t>
      </w:r>
    </w:p>
    <w:p w14:paraId="7C3CD3A3" w14:textId="413B7B1A" w:rsidR="001715ED" w:rsidRPr="003C3536" w:rsidRDefault="001715ED" w:rsidP="001715ED">
      <w:pPr>
        <w:rPr>
          <w:rFonts w:ascii="Nunito Sans Light" w:hAnsi="Nunito Sans Light"/>
          <w:sz w:val="24"/>
          <w:szCs w:val="24"/>
        </w:rPr>
      </w:pPr>
      <w:r w:rsidRPr="003C3536">
        <w:rPr>
          <w:rFonts w:ascii="Nunito Sans Light" w:hAnsi="Nunito Sans Light"/>
          <w:sz w:val="24"/>
          <w:szCs w:val="24"/>
        </w:rPr>
        <w:t>In 2010, Kenya joined the Global Forum on Transparency and Exchange of Information for tax purposes and Ratified the Convention on Mutual Administrative Assistance in Tax Matters in 2020, which convention came into force in January 2021. This Convention enables Kenya to start the implementation of the Automatic Exchange of Information (AEOI)/</w:t>
      </w:r>
      <w:r w:rsidR="00D318BA" w:rsidRPr="003C3536">
        <w:rPr>
          <w:rFonts w:ascii="Nunito Sans Light" w:hAnsi="Nunito Sans Light"/>
          <w:sz w:val="24"/>
          <w:szCs w:val="24"/>
        </w:rPr>
        <w:t xml:space="preserve"> Common Reporting Standard (</w:t>
      </w:r>
      <w:r w:rsidRPr="003C3536">
        <w:rPr>
          <w:rFonts w:ascii="Nunito Sans Light" w:hAnsi="Nunito Sans Light"/>
          <w:sz w:val="24"/>
          <w:szCs w:val="24"/>
        </w:rPr>
        <w:t>CRS</w:t>
      </w:r>
      <w:r w:rsidR="00D318BA" w:rsidRPr="003C3536">
        <w:rPr>
          <w:rFonts w:ascii="Nunito Sans Light" w:hAnsi="Nunito Sans Light"/>
          <w:sz w:val="24"/>
          <w:szCs w:val="24"/>
        </w:rPr>
        <w:t>)</w:t>
      </w:r>
      <w:r w:rsidRPr="003C3536">
        <w:rPr>
          <w:rFonts w:ascii="Nunito Sans Light" w:hAnsi="Nunito Sans Light"/>
          <w:sz w:val="24"/>
          <w:szCs w:val="24"/>
        </w:rPr>
        <w:t>.</w:t>
      </w:r>
    </w:p>
    <w:p w14:paraId="0E734102" w14:textId="280E0082" w:rsidR="00CD0714" w:rsidRPr="003C3536" w:rsidRDefault="00D318BA" w:rsidP="001715ED">
      <w:pPr>
        <w:rPr>
          <w:rFonts w:ascii="Nunito Sans Light" w:hAnsi="Nunito Sans Light"/>
          <w:sz w:val="24"/>
          <w:szCs w:val="24"/>
        </w:rPr>
      </w:pPr>
      <w:proofErr w:type="gramStart"/>
      <w:r w:rsidRPr="003C3536">
        <w:rPr>
          <w:rFonts w:ascii="Nunito Sans Light" w:hAnsi="Nunito Sans Light"/>
          <w:sz w:val="24"/>
          <w:szCs w:val="24"/>
        </w:rPr>
        <w:t>In order to</w:t>
      </w:r>
      <w:proofErr w:type="gramEnd"/>
      <w:r w:rsidRPr="003C3536">
        <w:rPr>
          <w:rFonts w:ascii="Nunito Sans Light" w:hAnsi="Nunito Sans Light"/>
          <w:sz w:val="24"/>
          <w:szCs w:val="24"/>
        </w:rPr>
        <w:t xml:space="preserve"> </w:t>
      </w:r>
      <w:r w:rsidR="003C3536" w:rsidRPr="003C3536">
        <w:rPr>
          <w:rFonts w:ascii="Nunito Sans Light" w:hAnsi="Nunito Sans Light"/>
          <w:sz w:val="24"/>
          <w:szCs w:val="24"/>
        </w:rPr>
        <w:t>implement this</w:t>
      </w:r>
      <w:r w:rsidR="00CD0714" w:rsidRPr="003C3536">
        <w:rPr>
          <w:rFonts w:ascii="Nunito Sans Light" w:hAnsi="Nunito Sans Light"/>
          <w:sz w:val="24"/>
          <w:szCs w:val="24"/>
        </w:rPr>
        <w:t xml:space="preserve"> Convention, Kenya</w:t>
      </w:r>
      <w:r w:rsidRPr="003C3536">
        <w:rPr>
          <w:rFonts w:ascii="Nunito Sans Light" w:hAnsi="Nunito Sans Light"/>
          <w:sz w:val="24"/>
          <w:szCs w:val="24"/>
        </w:rPr>
        <w:t>,</w:t>
      </w:r>
      <w:r w:rsidR="00CD0714" w:rsidRPr="003C3536">
        <w:rPr>
          <w:rFonts w:ascii="Nunito Sans Light" w:hAnsi="Nunito Sans Light"/>
          <w:sz w:val="24"/>
          <w:szCs w:val="24"/>
        </w:rPr>
        <w:t xml:space="preserve"> in February 2023</w:t>
      </w:r>
      <w:r w:rsidRPr="003C3536">
        <w:rPr>
          <w:rFonts w:ascii="Nunito Sans Light" w:hAnsi="Nunito Sans Light"/>
          <w:sz w:val="24"/>
          <w:szCs w:val="24"/>
        </w:rPr>
        <w:t>,</w:t>
      </w:r>
      <w:r w:rsidR="00CD0714" w:rsidRPr="003C3536">
        <w:rPr>
          <w:rFonts w:ascii="Nunito Sans Light" w:hAnsi="Nunito Sans Light"/>
          <w:sz w:val="24"/>
          <w:szCs w:val="24"/>
        </w:rPr>
        <w:t xml:space="preserve"> gazetted the Tax Procedures (Common Reporting Standards) Regulation 2023 (“CRS Regulations”) which aim to guide the implementation of CRS through enabling the systematic and periodic transmission of taxpayer information regarding the various categories of income/money held offshore.</w:t>
      </w:r>
    </w:p>
    <w:p w14:paraId="1C2E386D" w14:textId="3A2CB809" w:rsidR="00CD0714" w:rsidRPr="003C3536" w:rsidRDefault="00D318BA" w:rsidP="001715ED">
      <w:pPr>
        <w:rPr>
          <w:rFonts w:ascii="Nunito Sans Light" w:hAnsi="Nunito Sans Light"/>
          <w:sz w:val="24"/>
          <w:szCs w:val="24"/>
        </w:rPr>
      </w:pPr>
      <w:r w:rsidRPr="003C3536">
        <w:rPr>
          <w:rFonts w:ascii="Nunito Sans Light" w:hAnsi="Nunito Sans Light"/>
          <w:sz w:val="24"/>
          <w:szCs w:val="24"/>
        </w:rPr>
        <w:t xml:space="preserve">Under </w:t>
      </w:r>
      <w:r w:rsidR="00CD0714" w:rsidRPr="003C3536">
        <w:rPr>
          <w:rFonts w:ascii="Nunito Sans Light" w:hAnsi="Nunito Sans Light"/>
          <w:sz w:val="24"/>
          <w:szCs w:val="24"/>
        </w:rPr>
        <w:t>Section 6</w:t>
      </w:r>
      <w:r w:rsidR="001D48B1" w:rsidRPr="003C3536">
        <w:rPr>
          <w:rFonts w:ascii="Nunito Sans Light" w:hAnsi="Nunito Sans Light"/>
          <w:sz w:val="24"/>
          <w:szCs w:val="24"/>
        </w:rPr>
        <w:t>B (</w:t>
      </w:r>
      <w:r w:rsidR="00CD0714" w:rsidRPr="003C3536">
        <w:rPr>
          <w:rFonts w:ascii="Nunito Sans Light" w:hAnsi="Nunito Sans Light"/>
          <w:sz w:val="24"/>
          <w:szCs w:val="24"/>
        </w:rPr>
        <w:t>3) of the Tax Procedure Act 2015 as read with the Regulation 4(3) of the CRS Regulations, Reporting Financial Institutions are required to report the details of foreign account holders to KRA.</w:t>
      </w:r>
    </w:p>
    <w:p w14:paraId="6DB58B50" w14:textId="62CC064A" w:rsidR="00AD7D68" w:rsidRPr="003C3536" w:rsidRDefault="00AD7D68" w:rsidP="001715ED">
      <w:pPr>
        <w:rPr>
          <w:rFonts w:ascii="Nunito Sans Light" w:hAnsi="Nunito Sans Light"/>
          <w:sz w:val="24"/>
          <w:szCs w:val="24"/>
        </w:rPr>
      </w:pPr>
      <w:r w:rsidRPr="003C3536">
        <w:rPr>
          <w:rFonts w:ascii="Nunito Sans Light" w:hAnsi="Nunito Sans Light"/>
          <w:sz w:val="24"/>
          <w:szCs w:val="24"/>
        </w:rPr>
        <w:t>The CRS Regulations define a Financial Institution as a Custodial Institution, a Depository Institution, an Investment Entity or a specified Insurance Company.</w:t>
      </w:r>
    </w:p>
    <w:p w14:paraId="321B7733" w14:textId="23C6AB2F" w:rsidR="00AD7D68" w:rsidRPr="003C3536" w:rsidRDefault="00AD7D68" w:rsidP="001715ED">
      <w:pPr>
        <w:rPr>
          <w:rFonts w:ascii="Nunito Sans Light" w:hAnsi="Nunito Sans Light"/>
          <w:sz w:val="24"/>
          <w:szCs w:val="24"/>
        </w:rPr>
      </w:pPr>
      <w:r w:rsidRPr="003C3536">
        <w:rPr>
          <w:rFonts w:ascii="Nunito Sans Light" w:hAnsi="Nunito Sans Light"/>
          <w:sz w:val="24"/>
          <w:szCs w:val="24"/>
        </w:rPr>
        <w:t xml:space="preserve">The test for identifying whether an entity is a </w:t>
      </w:r>
      <w:r w:rsidR="0007642D" w:rsidRPr="003C3536">
        <w:rPr>
          <w:rFonts w:ascii="Nunito Sans Light" w:hAnsi="Nunito Sans Light"/>
          <w:sz w:val="24"/>
          <w:szCs w:val="24"/>
        </w:rPr>
        <w:t>Reporting Financial Institution includes determining whether:</w:t>
      </w:r>
    </w:p>
    <w:p w14:paraId="3AF356E8" w14:textId="5B4563A7" w:rsidR="0007642D" w:rsidRPr="003C3536" w:rsidRDefault="0007642D" w:rsidP="0007642D">
      <w:pPr>
        <w:pStyle w:val="ListParagraph"/>
        <w:numPr>
          <w:ilvl w:val="0"/>
          <w:numId w:val="1"/>
        </w:numPr>
        <w:rPr>
          <w:rFonts w:ascii="Nunito Sans Light" w:hAnsi="Nunito Sans Light"/>
          <w:sz w:val="24"/>
          <w:szCs w:val="24"/>
        </w:rPr>
      </w:pPr>
      <w:r w:rsidRPr="003C3536">
        <w:rPr>
          <w:rFonts w:ascii="Nunito Sans Light" w:hAnsi="Nunito Sans Light"/>
          <w:sz w:val="24"/>
          <w:szCs w:val="24"/>
        </w:rPr>
        <w:t>The Entity is in a participating Jurisdiction? Kenya is a Participating Jurisdiction.</w:t>
      </w:r>
    </w:p>
    <w:p w14:paraId="3F18195D" w14:textId="6A0D4739" w:rsidR="0007642D" w:rsidRPr="003C3536" w:rsidRDefault="0007642D" w:rsidP="0007642D">
      <w:pPr>
        <w:pStyle w:val="ListParagraph"/>
        <w:numPr>
          <w:ilvl w:val="0"/>
          <w:numId w:val="1"/>
        </w:numPr>
        <w:rPr>
          <w:rFonts w:ascii="Nunito Sans Light" w:hAnsi="Nunito Sans Light"/>
          <w:sz w:val="24"/>
          <w:szCs w:val="24"/>
        </w:rPr>
      </w:pPr>
      <w:r w:rsidRPr="003C3536">
        <w:rPr>
          <w:rFonts w:ascii="Nunito Sans Light" w:hAnsi="Nunito Sans Light"/>
          <w:sz w:val="24"/>
          <w:szCs w:val="24"/>
        </w:rPr>
        <w:t>The Entity is a Financial Institution?</w:t>
      </w:r>
    </w:p>
    <w:p w14:paraId="2D039817" w14:textId="7EBF0F5D" w:rsidR="0007642D" w:rsidRPr="003C3536" w:rsidRDefault="0007642D" w:rsidP="0007642D">
      <w:pPr>
        <w:pStyle w:val="ListParagraph"/>
        <w:numPr>
          <w:ilvl w:val="0"/>
          <w:numId w:val="1"/>
        </w:numPr>
        <w:rPr>
          <w:rFonts w:ascii="Nunito Sans Light" w:hAnsi="Nunito Sans Light"/>
          <w:sz w:val="24"/>
          <w:szCs w:val="24"/>
        </w:rPr>
      </w:pPr>
      <w:r w:rsidRPr="003C3536">
        <w:rPr>
          <w:rFonts w:ascii="Nunito Sans Light" w:hAnsi="Nunito Sans Light"/>
          <w:sz w:val="24"/>
          <w:szCs w:val="24"/>
        </w:rPr>
        <w:t>The Entity is a non-Reporting Financial Institution?</w:t>
      </w:r>
    </w:p>
    <w:p w14:paraId="368E3574" w14:textId="614AE9D0" w:rsidR="0007642D" w:rsidRPr="003C3536" w:rsidRDefault="0007642D" w:rsidP="0007642D">
      <w:pPr>
        <w:rPr>
          <w:rFonts w:ascii="Nunito Sans Light" w:hAnsi="Nunito Sans Light"/>
          <w:sz w:val="24"/>
          <w:szCs w:val="24"/>
        </w:rPr>
      </w:pPr>
      <w:r w:rsidRPr="003C3536">
        <w:rPr>
          <w:rFonts w:ascii="Nunito Sans Light" w:hAnsi="Nunito Sans Light"/>
          <w:sz w:val="24"/>
          <w:szCs w:val="24"/>
        </w:rPr>
        <w:t>This said, an entity is a Financial Institution if it is:</w:t>
      </w:r>
    </w:p>
    <w:p w14:paraId="0C0FBEB2" w14:textId="357B7055" w:rsidR="0007642D" w:rsidRPr="003C3536" w:rsidRDefault="0007642D" w:rsidP="0007642D">
      <w:pPr>
        <w:pStyle w:val="ListParagraph"/>
        <w:numPr>
          <w:ilvl w:val="0"/>
          <w:numId w:val="2"/>
        </w:numPr>
        <w:rPr>
          <w:rFonts w:ascii="Nunito Sans Light" w:hAnsi="Nunito Sans Light"/>
          <w:sz w:val="24"/>
          <w:szCs w:val="24"/>
        </w:rPr>
      </w:pPr>
      <w:r w:rsidRPr="003C3536">
        <w:rPr>
          <w:rFonts w:ascii="Nunito Sans Light" w:hAnsi="Nunito Sans Light"/>
          <w:sz w:val="24"/>
          <w:szCs w:val="24"/>
        </w:rPr>
        <w:t>Depository Institution: Th</w:t>
      </w:r>
      <w:r w:rsidR="00704B54" w:rsidRPr="003C3536">
        <w:rPr>
          <w:rFonts w:ascii="Nunito Sans Light" w:hAnsi="Nunito Sans Light"/>
          <w:sz w:val="24"/>
          <w:szCs w:val="24"/>
        </w:rPr>
        <w:t>ese</w:t>
      </w:r>
      <w:r w:rsidRPr="003C3536">
        <w:rPr>
          <w:rFonts w:ascii="Nunito Sans Light" w:hAnsi="Nunito Sans Light"/>
          <w:sz w:val="24"/>
          <w:szCs w:val="24"/>
        </w:rPr>
        <w:t xml:space="preserve"> are generally savings banks, commercial banks, savings and loan associations and credit unions.</w:t>
      </w:r>
    </w:p>
    <w:p w14:paraId="3EC7C6C8" w14:textId="39D768F9" w:rsidR="0007642D" w:rsidRPr="003C3536" w:rsidRDefault="0007642D" w:rsidP="0007642D">
      <w:pPr>
        <w:pStyle w:val="ListParagraph"/>
        <w:numPr>
          <w:ilvl w:val="0"/>
          <w:numId w:val="2"/>
        </w:numPr>
        <w:rPr>
          <w:rFonts w:ascii="Nunito Sans Light" w:hAnsi="Nunito Sans Light"/>
          <w:sz w:val="24"/>
          <w:szCs w:val="24"/>
        </w:rPr>
      </w:pPr>
      <w:r w:rsidRPr="003C3536">
        <w:rPr>
          <w:rFonts w:ascii="Nunito Sans Light" w:hAnsi="Nunito Sans Light"/>
          <w:sz w:val="24"/>
          <w:szCs w:val="24"/>
        </w:rPr>
        <w:t>Custodial Institution: Th</w:t>
      </w:r>
      <w:r w:rsidR="00704B54" w:rsidRPr="003C3536">
        <w:rPr>
          <w:rFonts w:ascii="Nunito Sans Light" w:hAnsi="Nunito Sans Light"/>
          <w:sz w:val="24"/>
          <w:szCs w:val="24"/>
        </w:rPr>
        <w:t>ese include custodial banks, brokers and central securities depositories.</w:t>
      </w:r>
    </w:p>
    <w:p w14:paraId="79565531" w14:textId="1DDD0390" w:rsidR="00704B54" w:rsidRPr="003C3536" w:rsidRDefault="00704B54" w:rsidP="0007642D">
      <w:pPr>
        <w:pStyle w:val="ListParagraph"/>
        <w:numPr>
          <w:ilvl w:val="0"/>
          <w:numId w:val="2"/>
        </w:numPr>
        <w:rPr>
          <w:rFonts w:ascii="Nunito Sans Light" w:hAnsi="Nunito Sans Light"/>
          <w:sz w:val="24"/>
          <w:szCs w:val="24"/>
        </w:rPr>
      </w:pPr>
      <w:r w:rsidRPr="003C3536">
        <w:rPr>
          <w:rFonts w:ascii="Nunito Sans Light" w:hAnsi="Nunito Sans Light"/>
          <w:sz w:val="24"/>
          <w:szCs w:val="24"/>
        </w:rPr>
        <w:t>Investment entities: These are entities investing, reinvesting or trading in financial instruments, portfolio management or investing, administering or managing financial assets.</w:t>
      </w:r>
    </w:p>
    <w:p w14:paraId="67D31DF5" w14:textId="0A8D04BF" w:rsidR="00704B54" w:rsidRPr="003C3536" w:rsidRDefault="00704B54" w:rsidP="0007642D">
      <w:pPr>
        <w:pStyle w:val="ListParagraph"/>
        <w:numPr>
          <w:ilvl w:val="0"/>
          <w:numId w:val="2"/>
        </w:numPr>
        <w:rPr>
          <w:rFonts w:ascii="Nunito Sans Light" w:hAnsi="Nunito Sans Light"/>
          <w:sz w:val="24"/>
          <w:szCs w:val="24"/>
        </w:rPr>
      </w:pPr>
      <w:r w:rsidRPr="003C3536">
        <w:rPr>
          <w:rFonts w:ascii="Nunito Sans Light" w:hAnsi="Nunito Sans Light"/>
          <w:sz w:val="24"/>
          <w:szCs w:val="24"/>
        </w:rPr>
        <w:t>Specified Insurance Companies: These generally include most life insurance companies.</w:t>
      </w:r>
    </w:p>
    <w:p w14:paraId="7B3CC723" w14:textId="100CE705" w:rsidR="00704B54" w:rsidRPr="003C3536" w:rsidRDefault="00704B54" w:rsidP="00704B54">
      <w:pPr>
        <w:rPr>
          <w:rFonts w:ascii="Nunito Sans Light" w:hAnsi="Nunito Sans Light"/>
          <w:sz w:val="24"/>
          <w:szCs w:val="24"/>
        </w:rPr>
      </w:pPr>
      <w:r w:rsidRPr="003C3536">
        <w:rPr>
          <w:rFonts w:ascii="Nunito Sans Light" w:hAnsi="Nunito Sans Light"/>
          <w:sz w:val="24"/>
          <w:szCs w:val="24"/>
        </w:rPr>
        <w:t xml:space="preserve">On the other hand, Non-Reporting Financial Institutions </w:t>
      </w:r>
      <w:r w:rsidR="00D318BA" w:rsidRPr="003C3536">
        <w:rPr>
          <w:rFonts w:ascii="Nunito Sans Light" w:hAnsi="Nunito Sans Light"/>
          <w:sz w:val="24"/>
          <w:szCs w:val="24"/>
        </w:rPr>
        <w:t>under the</w:t>
      </w:r>
      <w:r w:rsidRPr="003C3536">
        <w:rPr>
          <w:rFonts w:ascii="Nunito Sans Light" w:hAnsi="Nunito Sans Light"/>
          <w:sz w:val="24"/>
          <w:szCs w:val="24"/>
        </w:rPr>
        <w:t xml:space="preserve"> CRS Rules include:</w:t>
      </w:r>
    </w:p>
    <w:p w14:paraId="19B5372A" w14:textId="7F3A56F6" w:rsidR="00704B54" w:rsidRPr="003C3536" w:rsidRDefault="00704B54" w:rsidP="00704B54">
      <w:pPr>
        <w:pStyle w:val="ListParagraph"/>
        <w:numPr>
          <w:ilvl w:val="0"/>
          <w:numId w:val="3"/>
        </w:numPr>
        <w:rPr>
          <w:rFonts w:ascii="Nunito Sans Light" w:hAnsi="Nunito Sans Light"/>
          <w:sz w:val="24"/>
          <w:szCs w:val="24"/>
        </w:rPr>
      </w:pPr>
      <w:r w:rsidRPr="003C3536">
        <w:rPr>
          <w:rFonts w:ascii="Nunito Sans Light" w:hAnsi="Nunito Sans Light"/>
          <w:sz w:val="24"/>
          <w:szCs w:val="24"/>
        </w:rPr>
        <w:t>Government Entities</w:t>
      </w:r>
    </w:p>
    <w:p w14:paraId="037C003D" w14:textId="595932DE" w:rsidR="00704B54" w:rsidRPr="003C3536" w:rsidRDefault="00704B54" w:rsidP="00704B54">
      <w:pPr>
        <w:pStyle w:val="ListParagraph"/>
        <w:numPr>
          <w:ilvl w:val="0"/>
          <w:numId w:val="3"/>
        </w:numPr>
        <w:rPr>
          <w:rFonts w:ascii="Nunito Sans Light" w:hAnsi="Nunito Sans Light"/>
          <w:sz w:val="24"/>
          <w:szCs w:val="24"/>
        </w:rPr>
      </w:pPr>
      <w:r w:rsidRPr="003C3536">
        <w:rPr>
          <w:rFonts w:ascii="Nunito Sans Light" w:hAnsi="Nunito Sans Light"/>
          <w:sz w:val="24"/>
          <w:szCs w:val="24"/>
        </w:rPr>
        <w:t>International Organisations</w:t>
      </w:r>
    </w:p>
    <w:p w14:paraId="22AB508F" w14:textId="518BF1D5" w:rsidR="00704B54" w:rsidRPr="003C3536" w:rsidRDefault="00704B54" w:rsidP="00704B54">
      <w:pPr>
        <w:pStyle w:val="ListParagraph"/>
        <w:numPr>
          <w:ilvl w:val="0"/>
          <w:numId w:val="3"/>
        </w:numPr>
        <w:rPr>
          <w:rFonts w:ascii="Nunito Sans Light" w:hAnsi="Nunito Sans Light"/>
          <w:sz w:val="24"/>
          <w:szCs w:val="24"/>
        </w:rPr>
      </w:pPr>
      <w:r w:rsidRPr="003C3536">
        <w:rPr>
          <w:rFonts w:ascii="Nunito Sans Light" w:hAnsi="Nunito Sans Light"/>
          <w:sz w:val="24"/>
          <w:szCs w:val="24"/>
        </w:rPr>
        <w:lastRenderedPageBreak/>
        <w:t>Central Banks</w:t>
      </w:r>
    </w:p>
    <w:p w14:paraId="4513AF26" w14:textId="55EF7699" w:rsidR="00704B54" w:rsidRPr="003C3536" w:rsidRDefault="00704B54" w:rsidP="00704B54">
      <w:pPr>
        <w:pStyle w:val="ListParagraph"/>
        <w:numPr>
          <w:ilvl w:val="0"/>
          <w:numId w:val="3"/>
        </w:numPr>
        <w:rPr>
          <w:rFonts w:ascii="Nunito Sans Light" w:hAnsi="Nunito Sans Light"/>
          <w:sz w:val="24"/>
          <w:szCs w:val="24"/>
        </w:rPr>
      </w:pPr>
      <w:r w:rsidRPr="003C3536">
        <w:rPr>
          <w:rFonts w:ascii="Nunito Sans Light" w:hAnsi="Nunito Sans Light"/>
          <w:sz w:val="24"/>
          <w:szCs w:val="24"/>
        </w:rPr>
        <w:t>Certain Retirement Funds</w:t>
      </w:r>
    </w:p>
    <w:p w14:paraId="16F28D70" w14:textId="499E94ED" w:rsidR="00704B54" w:rsidRPr="003C3536" w:rsidRDefault="00704B54" w:rsidP="00704B54">
      <w:pPr>
        <w:pStyle w:val="ListParagraph"/>
        <w:numPr>
          <w:ilvl w:val="0"/>
          <w:numId w:val="3"/>
        </w:numPr>
        <w:rPr>
          <w:rFonts w:ascii="Nunito Sans Light" w:hAnsi="Nunito Sans Light"/>
          <w:sz w:val="24"/>
          <w:szCs w:val="24"/>
        </w:rPr>
      </w:pPr>
      <w:r w:rsidRPr="003C3536">
        <w:rPr>
          <w:rFonts w:ascii="Nunito Sans Light" w:hAnsi="Nunito Sans Light"/>
          <w:sz w:val="24"/>
          <w:szCs w:val="24"/>
        </w:rPr>
        <w:t>Qualified Credit card issuers</w:t>
      </w:r>
    </w:p>
    <w:p w14:paraId="78BDEA2E" w14:textId="3786DCB4" w:rsidR="00704B54" w:rsidRPr="003C3536" w:rsidRDefault="00704B54" w:rsidP="00704B54">
      <w:pPr>
        <w:pStyle w:val="ListParagraph"/>
        <w:numPr>
          <w:ilvl w:val="0"/>
          <w:numId w:val="3"/>
        </w:numPr>
        <w:rPr>
          <w:rFonts w:ascii="Nunito Sans Light" w:hAnsi="Nunito Sans Light"/>
          <w:sz w:val="24"/>
          <w:szCs w:val="24"/>
        </w:rPr>
      </w:pPr>
      <w:r w:rsidRPr="003C3536">
        <w:rPr>
          <w:rFonts w:ascii="Nunito Sans Light" w:hAnsi="Nunito Sans Light"/>
          <w:sz w:val="24"/>
          <w:szCs w:val="24"/>
        </w:rPr>
        <w:t>Exempt Collective Investment Entities</w:t>
      </w:r>
    </w:p>
    <w:p w14:paraId="2CAA2913" w14:textId="19E472B1" w:rsidR="00704B54" w:rsidRPr="003C3536" w:rsidRDefault="00704B54" w:rsidP="00704B54">
      <w:pPr>
        <w:pStyle w:val="ListParagraph"/>
        <w:numPr>
          <w:ilvl w:val="0"/>
          <w:numId w:val="3"/>
        </w:numPr>
        <w:rPr>
          <w:rFonts w:ascii="Nunito Sans Light" w:hAnsi="Nunito Sans Light"/>
          <w:sz w:val="24"/>
          <w:szCs w:val="24"/>
        </w:rPr>
      </w:pPr>
      <w:r w:rsidRPr="003C3536">
        <w:rPr>
          <w:rFonts w:ascii="Nunito Sans Light" w:hAnsi="Nunito Sans Light"/>
          <w:sz w:val="24"/>
          <w:szCs w:val="24"/>
        </w:rPr>
        <w:t>Trustee Documents Trusts</w:t>
      </w:r>
    </w:p>
    <w:p w14:paraId="545F66DD" w14:textId="36ED7B36" w:rsidR="00704B54" w:rsidRPr="003C3536" w:rsidRDefault="00704B54" w:rsidP="00704B54">
      <w:pPr>
        <w:pStyle w:val="ListParagraph"/>
        <w:numPr>
          <w:ilvl w:val="0"/>
          <w:numId w:val="3"/>
        </w:numPr>
        <w:rPr>
          <w:rFonts w:ascii="Nunito Sans Light" w:hAnsi="Nunito Sans Light"/>
          <w:sz w:val="24"/>
          <w:szCs w:val="24"/>
        </w:rPr>
      </w:pPr>
      <w:r w:rsidRPr="003C3536">
        <w:rPr>
          <w:rFonts w:ascii="Nunito Sans Light" w:hAnsi="Nunito Sans Light"/>
          <w:sz w:val="24"/>
          <w:szCs w:val="24"/>
        </w:rPr>
        <w:t>Other low risk Financial Institutions.</w:t>
      </w:r>
    </w:p>
    <w:p w14:paraId="45EFC3BF" w14:textId="5599FCFF" w:rsidR="00704B54" w:rsidRPr="003C3536" w:rsidRDefault="00704B54" w:rsidP="00704B54">
      <w:pPr>
        <w:rPr>
          <w:rFonts w:ascii="Nunito Sans Light" w:hAnsi="Nunito Sans Light"/>
          <w:sz w:val="24"/>
          <w:szCs w:val="24"/>
        </w:rPr>
      </w:pPr>
      <w:r w:rsidRPr="003C3536">
        <w:rPr>
          <w:rFonts w:ascii="Nunito Sans Light" w:hAnsi="Nunito Sans Light"/>
          <w:sz w:val="24"/>
          <w:szCs w:val="24"/>
        </w:rPr>
        <w:t xml:space="preserve">Where an Entity determines it or any of its branches falls under the above categories of </w:t>
      </w:r>
      <w:r w:rsidR="007F7B0F" w:rsidRPr="003C3536">
        <w:rPr>
          <w:rFonts w:ascii="Nunito Sans Light" w:hAnsi="Nunito Sans Light"/>
          <w:sz w:val="24"/>
          <w:szCs w:val="24"/>
        </w:rPr>
        <w:t xml:space="preserve">Reporting </w:t>
      </w:r>
      <w:r w:rsidRPr="003C3536">
        <w:rPr>
          <w:rFonts w:ascii="Nunito Sans Light" w:hAnsi="Nunito Sans Light"/>
          <w:sz w:val="24"/>
          <w:szCs w:val="24"/>
        </w:rPr>
        <w:t>Financial Institutions</w:t>
      </w:r>
      <w:r w:rsidR="007F7B0F" w:rsidRPr="003C3536">
        <w:rPr>
          <w:rFonts w:ascii="Nunito Sans Light" w:hAnsi="Nunito Sans Light"/>
          <w:sz w:val="24"/>
          <w:szCs w:val="24"/>
        </w:rPr>
        <w:t xml:space="preserve"> its next steps will include:</w:t>
      </w:r>
    </w:p>
    <w:p w14:paraId="7D76FE07" w14:textId="69F25B4F" w:rsidR="007F7B0F" w:rsidRPr="003C3536" w:rsidRDefault="007F7B0F" w:rsidP="007F7B0F">
      <w:pPr>
        <w:pStyle w:val="ListParagraph"/>
        <w:numPr>
          <w:ilvl w:val="0"/>
          <w:numId w:val="4"/>
        </w:numPr>
        <w:rPr>
          <w:rFonts w:ascii="Nunito Sans Light" w:hAnsi="Nunito Sans Light"/>
          <w:sz w:val="24"/>
          <w:szCs w:val="24"/>
        </w:rPr>
      </w:pPr>
      <w:r w:rsidRPr="003C3536">
        <w:rPr>
          <w:rFonts w:ascii="Nunito Sans Light" w:hAnsi="Nunito Sans Light"/>
          <w:sz w:val="24"/>
          <w:szCs w:val="24"/>
        </w:rPr>
        <w:t xml:space="preserve">Determining and </w:t>
      </w:r>
      <w:r w:rsidR="00D318BA" w:rsidRPr="003C3536">
        <w:rPr>
          <w:rFonts w:ascii="Nunito Sans Light" w:hAnsi="Nunito Sans Light"/>
          <w:sz w:val="24"/>
          <w:szCs w:val="24"/>
        </w:rPr>
        <w:t>r</w:t>
      </w:r>
      <w:r w:rsidRPr="003C3536">
        <w:rPr>
          <w:rFonts w:ascii="Nunito Sans Light" w:hAnsi="Nunito Sans Light"/>
          <w:sz w:val="24"/>
          <w:szCs w:val="24"/>
        </w:rPr>
        <w:t xml:space="preserve">eviewing their </w:t>
      </w:r>
      <w:r w:rsidR="00D318BA" w:rsidRPr="003C3536">
        <w:rPr>
          <w:rFonts w:ascii="Nunito Sans Light" w:hAnsi="Nunito Sans Light"/>
          <w:sz w:val="24"/>
          <w:szCs w:val="24"/>
        </w:rPr>
        <w:t>f</w:t>
      </w:r>
      <w:r w:rsidRPr="003C3536">
        <w:rPr>
          <w:rFonts w:ascii="Nunito Sans Light" w:hAnsi="Nunito Sans Light"/>
          <w:sz w:val="24"/>
          <w:szCs w:val="24"/>
        </w:rPr>
        <w:t>inancial accounts</w:t>
      </w:r>
    </w:p>
    <w:p w14:paraId="727DFB7E" w14:textId="015A863A" w:rsidR="007F7B0F" w:rsidRPr="003C3536" w:rsidRDefault="007F7B0F" w:rsidP="007F7B0F">
      <w:pPr>
        <w:pStyle w:val="ListParagraph"/>
        <w:numPr>
          <w:ilvl w:val="0"/>
          <w:numId w:val="4"/>
        </w:numPr>
        <w:rPr>
          <w:rFonts w:ascii="Nunito Sans Light" w:hAnsi="Nunito Sans Light"/>
          <w:sz w:val="24"/>
          <w:szCs w:val="24"/>
        </w:rPr>
      </w:pPr>
      <w:r w:rsidRPr="003C3536">
        <w:rPr>
          <w:rFonts w:ascii="Nunito Sans Light" w:hAnsi="Nunito Sans Light"/>
          <w:sz w:val="24"/>
          <w:szCs w:val="24"/>
        </w:rPr>
        <w:t>Identifying which of its financial accounts are reportable or non-reportable</w:t>
      </w:r>
    </w:p>
    <w:p w14:paraId="04EA9EE2" w14:textId="3943CD55" w:rsidR="007F7B0F" w:rsidRPr="003C3536" w:rsidRDefault="007F7B0F" w:rsidP="007F7B0F">
      <w:pPr>
        <w:pStyle w:val="ListParagraph"/>
        <w:numPr>
          <w:ilvl w:val="0"/>
          <w:numId w:val="4"/>
        </w:numPr>
        <w:rPr>
          <w:rFonts w:ascii="Nunito Sans Light" w:hAnsi="Nunito Sans Light"/>
          <w:sz w:val="24"/>
          <w:szCs w:val="24"/>
        </w:rPr>
      </w:pPr>
      <w:r w:rsidRPr="003C3536">
        <w:rPr>
          <w:rFonts w:ascii="Nunito Sans Light" w:hAnsi="Nunito Sans Light"/>
          <w:sz w:val="24"/>
          <w:szCs w:val="24"/>
        </w:rPr>
        <w:t xml:space="preserve">Undertaking </w:t>
      </w:r>
      <w:r w:rsidR="00D318BA" w:rsidRPr="003C3536">
        <w:rPr>
          <w:rFonts w:ascii="Nunito Sans Light" w:hAnsi="Nunito Sans Light"/>
          <w:sz w:val="24"/>
          <w:szCs w:val="24"/>
        </w:rPr>
        <w:t>d</w:t>
      </w:r>
      <w:r w:rsidRPr="003C3536">
        <w:rPr>
          <w:rFonts w:ascii="Nunito Sans Light" w:hAnsi="Nunito Sans Light"/>
          <w:sz w:val="24"/>
          <w:szCs w:val="24"/>
        </w:rPr>
        <w:t xml:space="preserve">ue </w:t>
      </w:r>
      <w:r w:rsidR="00D318BA" w:rsidRPr="003C3536">
        <w:rPr>
          <w:rFonts w:ascii="Nunito Sans Light" w:hAnsi="Nunito Sans Light"/>
          <w:sz w:val="24"/>
          <w:szCs w:val="24"/>
        </w:rPr>
        <w:t>d</w:t>
      </w:r>
      <w:r w:rsidRPr="003C3536">
        <w:rPr>
          <w:rFonts w:ascii="Nunito Sans Light" w:hAnsi="Nunito Sans Light"/>
          <w:sz w:val="24"/>
          <w:szCs w:val="24"/>
        </w:rPr>
        <w:t xml:space="preserve">iligence on the </w:t>
      </w:r>
      <w:r w:rsidR="00D318BA" w:rsidRPr="003C3536">
        <w:rPr>
          <w:rFonts w:ascii="Nunito Sans Light" w:hAnsi="Nunito Sans Light"/>
          <w:sz w:val="24"/>
          <w:szCs w:val="24"/>
        </w:rPr>
        <w:t>pre</w:t>
      </w:r>
      <w:r w:rsidRPr="003C3536">
        <w:rPr>
          <w:rFonts w:ascii="Nunito Sans Light" w:hAnsi="Nunito Sans Light"/>
          <w:sz w:val="24"/>
          <w:szCs w:val="24"/>
        </w:rPr>
        <w:t>-</w:t>
      </w:r>
      <w:r w:rsidR="00D318BA" w:rsidRPr="003C3536">
        <w:rPr>
          <w:rFonts w:ascii="Nunito Sans Light" w:hAnsi="Nunito Sans Light"/>
          <w:sz w:val="24"/>
          <w:szCs w:val="24"/>
        </w:rPr>
        <w:t xml:space="preserve">existing </w:t>
      </w:r>
      <w:r w:rsidRPr="003C3536">
        <w:rPr>
          <w:rFonts w:ascii="Nunito Sans Light" w:hAnsi="Nunito Sans Light"/>
          <w:sz w:val="24"/>
          <w:szCs w:val="24"/>
        </w:rPr>
        <w:t xml:space="preserve">and </w:t>
      </w:r>
      <w:r w:rsidR="00D318BA" w:rsidRPr="003C3536">
        <w:rPr>
          <w:rFonts w:ascii="Nunito Sans Light" w:hAnsi="Nunito Sans Light"/>
          <w:sz w:val="24"/>
          <w:szCs w:val="24"/>
        </w:rPr>
        <w:t>new accounts</w:t>
      </w:r>
      <w:r w:rsidRPr="003C3536">
        <w:rPr>
          <w:rFonts w:ascii="Nunito Sans Light" w:hAnsi="Nunito Sans Light"/>
          <w:sz w:val="24"/>
          <w:szCs w:val="24"/>
        </w:rPr>
        <w:t>, and</w:t>
      </w:r>
    </w:p>
    <w:p w14:paraId="7A9E5A9C" w14:textId="711EFE79" w:rsidR="007F7B0F" w:rsidRPr="003C3536" w:rsidRDefault="007F7B0F" w:rsidP="007F7B0F">
      <w:pPr>
        <w:pStyle w:val="ListParagraph"/>
        <w:numPr>
          <w:ilvl w:val="0"/>
          <w:numId w:val="4"/>
        </w:numPr>
        <w:rPr>
          <w:rFonts w:ascii="Nunito Sans Light" w:hAnsi="Nunito Sans Light"/>
          <w:sz w:val="24"/>
          <w:szCs w:val="24"/>
        </w:rPr>
      </w:pPr>
      <w:r w:rsidRPr="003C3536">
        <w:rPr>
          <w:rFonts w:ascii="Nunito Sans Light" w:hAnsi="Nunito Sans Light"/>
          <w:sz w:val="24"/>
          <w:szCs w:val="24"/>
        </w:rPr>
        <w:t xml:space="preserve">Reporting to the Commissioner </w:t>
      </w:r>
      <w:r w:rsidR="00D318BA" w:rsidRPr="003C3536">
        <w:rPr>
          <w:rFonts w:ascii="Nunito Sans Light" w:hAnsi="Nunito Sans Light"/>
          <w:sz w:val="24"/>
          <w:szCs w:val="24"/>
        </w:rPr>
        <w:t xml:space="preserve">of Domestic Taxes </w:t>
      </w:r>
      <w:r w:rsidRPr="003C3536">
        <w:rPr>
          <w:rFonts w:ascii="Nunito Sans Light" w:hAnsi="Nunito Sans Light"/>
          <w:sz w:val="24"/>
          <w:szCs w:val="24"/>
        </w:rPr>
        <w:t>using the predetermined format.</w:t>
      </w:r>
    </w:p>
    <w:p w14:paraId="6774E6E0" w14:textId="36F37FD9" w:rsidR="001C59FA" w:rsidRPr="003C3536" w:rsidRDefault="001C59FA" w:rsidP="007F7B0F">
      <w:pPr>
        <w:rPr>
          <w:rFonts w:ascii="Nunito Sans Light" w:hAnsi="Nunito Sans Light"/>
          <w:sz w:val="24"/>
          <w:szCs w:val="24"/>
        </w:rPr>
      </w:pPr>
      <w:commentRangeStart w:id="0"/>
      <w:r w:rsidRPr="003C3536">
        <w:rPr>
          <w:rFonts w:ascii="Nunito Sans Light" w:hAnsi="Nunito Sans Light"/>
          <w:noProof/>
          <w:sz w:val="24"/>
          <w:szCs w:val="24"/>
        </w:rPr>
        <w:drawing>
          <wp:inline distT="0" distB="0" distL="0" distR="0" wp14:anchorId="367C839F" wp14:editId="0BFC3FB8">
            <wp:extent cx="5731510" cy="2583815"/>
            <wp:effectExtent l="0" t="0" r="2540" b="0"/>
            <wp:docPr id="115877113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commentRangeEnd w:id="0"/>
      <w:r w:rsidR="001E5769" w:rsidRPr="003C3536">
        <w:rPr>
          <w:rStyle w:val="CommentReference"/>
          <w:rFonts w:ascii="Nunito Sans Light" w:hAnsi="Nunito Sans Light"/>
          <w:sz w:val="24"/>
          <w:szCs w:val="24"/>
        </w:rPr>
        <w:commentReference w:id="0"/>
      </w:r>
    </w:p>
    <w:p w14:paraId="15BA14D4" w14:textId="0FC6FD1E" w:rsidR="007D6E71" w:rsidRPr="003C3536" w:rsidRDefault="00D318BA" w:rsidP="007F7B0F">
      <w:pPr>
        <w:rPr>
          <w:rFonts w:ascii="Nunito Sans Light" w:hAnsi="Nunito Sans Light"/>
          <w:sz w:val="24"/>
          <w:szCs w:val="24"/>
        </w:rPr>
      </w:pPr>
      <w:r w:rsidRPr="003C3536">
        <w:rPr>
          <w:rFonts w:ascii="Nunito Sans Light" w:hAnsi="Nunito Sans Light"/>
          <w:sz w:val="24"/>
          <w:szCs w:val="24"/>
        </w:rPr>
        <w:t xml:space="preserve">The Commissioner is expected to deploy the </w:t>
      </w:r>
      <w:r w:rsidR="004E70A1" w:rsidRPr="003C3536">
        <w:rPr>
          <w:rFonts w:ascii="Nunito Sans Light" w:hAnsi="Nunito Sans Light"/>
          <w:sz w:val="24"/>
          <w:szCs w:val="24"/>
        </w:rPr>
        <w:t xml:space="preserve">liaison mechanisms </w:t>
      </w:r>
      <w:r w:rsidR="003C3536" w:rsidRPr="003C3536">
        <w:rPr>
          <w:rFonts w:ascii="Nunito Sans Light" w:hAnsi="Nunito Sans Light"/>
          <w:sz w:val="24"/>
          <w:szCs w:val="24"/>
        </w:rPr>
        <w:t>to enable</w:t>
      </w:r>
      <w:r w:rsidRPr="003C3536">
        <w:rPr>
          <w:rFonts w:ascii="Nunito Sans Light" w:hAnsi="Nunito Sans Light"/>
          <w:sz w:val="24"/>
          <w:szCs w:val="24"/>
        </w:rPr>
        <w:t xml:space="preserve"> qualifying reporting financial institutions to report relevant details of their account holder to K</w:t>
      </w:r>
      <w:r w:rsidR="007D6E71" w:rsidRPr="003C3536">
        <w:rPr>
          <w:rFonts w:ascii="Nunito Sans Light" w:hAnsi="Nunito Sans Light"/>
          <w:sz w:val="24"/>
          <w:szCs w:val="24"/>
        </w:rPr>
        <w:t xml:space="preserve">enya </w:t>
      </w:r>
      <w:r w:rsidRPr="003C3536">
        <w:rPr>
          <w:rFonts w:ascii="Nunito Sans Light" w:hAnsi="Nunito Sans Light"/>
          <w:sz w:val="24"/>
          <w:szCs w:val="24"/>
        </w:rPr>
        <w:t>R</w:t>
      </w:r>
      <w:r w:rsidR="007D6E71" w:rsidRPr="003C3536">
        <w:rPr>
          <w:rFonts w:ascii="Nunito Sans Light" w:hAnsi="Nunito Sans Light"/>
          <w:sz w:val="24"/>
          <w:szCs w:val="24"/>
        </w:rPr>
        <w:t xml:space="preserve">evenue </w:t>
      </w:r>
      <w:r w:rsidRPr="003C3536">
        <w:rPr>
          <w:rFonts w:ascii="Nunito Sans Light" w:hAnsi="Nunito Sans Light"/>
          <w:sz w:val="24"/>
          <w:szCs w:val="24"/>
        </w:rPr>
        <w:t>A</w:t>
      </w:r>
      <w:r w:rsidR="007D6E71" w:rsidRPr="003C3536">
        <w:rPr>
          <w:rFonts w:ascii="Nunito Sans Light" w:hAnsi="Nunito Sans Light"/>
          <w:sz w:val="24"/>
          <w:szCs w:val="24"/>
        </w:rPr>
        <w:t>uthority (KRA)</w:t>
      </w:r>
      <w:r w:rsidRPr="003C3536">
        <w:rPr>
          <w:rFonts w:ascii="Nunito Sans Light" w:hAnsi="Nunito Sans Light"/>
          <w:sz w:val="24"/>
          <w:szCs w:val="24"/>
        </w:rPr>
        <w:t xml:space="preserve"> by the new deadline of 31 August 2024 for the year ended 31 December 2023.</w:t>
      </w:r>
      <w:r w:rsidR="007D6E71" w:rsidRPr="003C3536">
        <w:rPr>
          <w:rFonts w:ascii="Nunito Sans Light" w:hAnsi="Nunito Sans Light"/>
          <w:sz w:val="24"/>
          <w:szCs w:val="24"/>
        </w:rPr>
        <w:t xml:space="preserve"> </w:t>
      </w:r>
    </w:p>
    <w:p w14:paraId="38B8C256" w14:textId="66E8EA62" w:rsidR="007D6E71" w:rsidRPr="003C3536" w:rsidRDefault="007D6E71" w:rsidP="007F7B0F">
      <w:pPr>
        <w:rPr>
          <w:rFonts w:ascii="Nunito Sans Light" w:hAnsi="Nunito Sans Light"/>
          <w:sz w:val="24"/>
          <w:szCs w:val="24"/>
        </w:rPr>
      </w:pPr>
      <w:r w:rsidRPr="003C3536">
        <w:rPr>
          <w:rFonts w:ascii="Nunito Sans Light" w:hAnsi="Nunito Sans Light"/>
          <w:sz w:val="24"/>
          <w:szCs w:val="24"/>
        </w:rPr>
        <w:t>In the meantime, the reporting financial institutions should have collected the reportable due diligence data including name, address, date and place of birth for individuals, tax residence, tax registration number of their account holders and account balance in readiness for the first reporting cycle.</w:t>
      </w:r>
    </w:p>
    <w:p w14:paraId="00758C90" w14:textId="28EEEF81" w:rsidR="001C59FA" w:rsidRPr="003C3536" w:rsidRDefault="007D6E71" w:rsidP="007F7B0F">
      <w:pPr>
        <w:rPr>
          <w:rFonts w:ascii="Nunito Sans Light" w:hAnsi="Nunito Sans Light"/>
          <w:sz w:val="24"/>
          <w:szCs w:val="24"/>
        </w:rPr>
      </w:pPr>
      <w:r w:rsidRPr="003C3536">
        <w:rPr>
          <w:rFonts w:ascii="Nunito Sans Light" w:hAnsi="Nunito Sans Light"/>
          <w:sz w:val="24"/>
          <w:szCs w:val="24"/>
        </w:rPr>
        <w:t xml:space="preserve">Once KRA receives the CRS data, it may either on request of another tax jurisdiction or pursuant to an exchange of information agreement share the relevant data to that other </w:t>
      </w:r>
      <w:r w:rsidR="004E70A1" w:rsidRPr="003C3536">
        <w:rPr>
          <w:rFonts w:ascii="Nunito Sans Light" w:hAnsi="Nunito Sans Light"/>
          <w:sz w:val="24"/>
          <w:szCs w:val="24"/>
        </w:rPr>
        <w:t>participating</w:t>
      </w:r>
      <w:r w:rsidRPr="003C3536">
        <w:rPr>
          <w:rFonts w:ascii="Nunito Sans Light" w:hAnsi="Nunito Sans Light"/>
          <w:sz w:val="24"/>
          <w:szCs w:val="24"/>
        </w:rPr>
        <w:t xml:space="preserve"> jurisdiction to aid in tax administration. </w:t>
      </w:r>
    </w:p>
    <w:p w14:paraId="35EB4C90" w14:textId="1D311EC1" w:rsidR="007D6E71" w:rsidRPr="003C3536" w:rsidRDefault="007D6E71" w:rsidP="007F7B0F">
      <w:pPr>
        <w:rPr>
          <w:rFonts w:ascii="Nunito Sans Light" w:hAnsi="Nunito Sans Light"/>
          <w:sz w:val="24"/>
          <w:szCs w:val="24"/>
        </w:rPr>
      </w:pPr>
      <w:r w:rsidRPr="003C3536">
        <w:rPr>
          <w:rFonts w:ascii="Nunito Sans Light" w:hAnsi="Nunito Sans Light"/>
          <w:sz w:val="24"/>
          <w:szCs w:val="24"/>
        </w:rPr>
        <w:lastRenderedPageBreak/>
        <w:t>The overarching objective of these disclosures is to enable revenue authorities identify and appropriately tax incomes that would otherwise be difficult to trace. Ultimately</w:t>
      </w:r>
      <w:r w:rsidR="001C59FA" w:rsidRPr="003C3536">
        <w:rPr>
          <w:rFonts w:ascii="Nunito Sans Light" w:hAnsi="Nunito Sans Light"/>
          <w:sz w:val="24"/>
          <w:szCs w:val="24"/>
        </w:rPr>
        <w:t>, the revenue authorities hope to reduce tax evasion and shore up the much-needed revenues even as citizens globally demand value for their taxes.</w:t>
      </w:r>
      <w:r w:rsidRPr="003C3536">
        <w:rPr>
          <w:rFonts w:ascii="Nunito Sans Light" w:hAnsi="Nunito Sans Light"/>
          <w:sz w:val="24"/>
          <w:szCs w:val="24"/>
        </w:rPr>
        <w:t xml:space="preserve"> </w:t>
      </w:r>
    </w:p>
    <w:p w14:paraId="639489B5" w14:textId="49DF2B3B" w:rsidR="0007642D" w:rsidRPr="003C3536" w:rsidRDefault="001C59FA" w:rsidP="003C3536">
      <w:pPr>
        <w:pStyle w:val="BodyText"/>
        <w:spacing w:before="0" w:after="0"/>
        <w:rPr>
          <w:rFonts w:ascii="Nunito Sans Light" w:hAnsi="Nunito Sans Light"/>
          <w:sz w:val="24"/>
          <w:szCs w:val="24"/>
        </w:rPr>
      </w:pPr>
      <w:r w:rsidRPr="003C3536">
        <w:rPr>
          <w:rFonts w:ascii="Nunito Sans Light" w:hAnsi="Nunito Sans Light"/>
          <w:i/>
          <w:sz w:val="24"/>
          <w:szCs w:val="24"/>
        </w:rPr>
        <w:t xml:space="preserve">Christine Nderitu is </w:t>
      </w:r>
      <w:r w:rsidR="001D29C7" w:rsidRPr="003C3536">
        <w:rPr>
          <w:rFonts w:ascii="Nunito Sans Light" w:hAnsi="Nunito Sans Light"/>
          <w:i/>
          <w:sz w:val="24"/>
          <w:szCs w:val="24"/>
        </w:rPr>
        <w:t>a</w:t>
      </w:r>
      <w:r w:rsidRPr="003C3536">
        <w:rPr>
          <w:rFonts w:ascii="Nunito Sans Light" w:hAnsi="Nunito Sans Light"/>
          <w:i/>
          <w:sz w:val="24"/>
          <w:szCs w:val="24"/>
        </w:rPr>
        <w:t xml:space="preserve"> </w:t>
      </w:r>
      <w:r w:rsidR="00313514">
        <w:rPr>
          <w:rFonts w:ascii="Nunito Sans Light" w:hAnsi="Nunito Sans Light"/>
          <w:i/>
          <w:sz w:val="24"/>
          <w:szCs w:val="24"/>
        </w:rPr>
        <w:t>Regulatory and Tax Advisor</w:t>
      </w:r>
      <w:r w:rsidRPr="003C3536">
        <w:rPr>
          <w:rFonts w:ascii="Nunito Sans Light" w:hAnsi="Nunito Sans Light"/>
          <w:i/>
          <w:sz w:val="24"/>
          <w:szCs w:val="24"/>
        </w:rPr>
        <w:t xml:space="preserve"> with Ichiban Tax &amp; Business Advisory LLP (cnderitu@ichiban.co.ke). The views and opinions are those of the authors and do not necessarily represent the views and opinions of Ichiban.</w:t>
      </w:r>
    </w:p>
    <w:sectPr w:rsidR="0007642D" w:rsidRPr="003C353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Robert Waruiru" w:date="2024-07-29T10:06:00Z" w:initials="RW">
    <w:p w14:paraId="58F221B2" w14:textId="77777777" w:rsidR="001E5769" w:rsidRDefault="001E5769" w:rsidP="001E5769">
      <w:pPr>
        <w:pStyle w:val="CommentText"/>
      </w:pPr>
      <w:r>
        <w:rPr>
          <w:rStyle w:val="CommentReference"/>
        </w:rPr>
        <w:annotationRef/>
      </w:r>
      <w:r>
        <w:t>Please cite the source of this diagram to give credit to the author.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8F221B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6104627" w16cex:dateUtc="2024-07-29T07: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8F221B2" w16cid:durableId="361046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C53E39" w14:textId="77777777" w:rsidR="000E5136" w:rsidRDefault="000E5136" w:rsidP="001715ED">
      <w:pPr>
        <w:spacing w:after="0" w:line="240" w:lineRule="auto"/>
      </w:pPr>
      <w:r>
        <w:separator/>
      </w:r>
    </w:p>
  </w:endnote>
  <w:endnote w:type="continuationSeparator" w:id="0">
    <w:p w14:paraId="4B297CA1" w14:textId="77777777" w:rsidR="000E5136" w:rsidRDefault="000E5136" w:rsidP="00171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unito Sans Light">
    <w:panose1 w:val="00000400000000000000"/>
    <w:charset w:val="00"/>
    <w:family w:val="auto"/>
    <w:pitch w:val="variable"/>
    <w:sig w:usb0="20000007" w:usb1="00000001"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1FBCB3" w14:textId="77777777" w:rsidR="000E5136" w:rsidRDefault="000E5136" w:rsidP="001715ED">
      <w:pPr>
        <w:spacing w:after="0" w:line="240" w:lineRule="auto"/>
      </w:pPr>
      <w:r>
        <w:separator/>
      </w:r>
    </w:p>
  </w:footnote>
  <w:footnote w:type="continuationSeparator" w:id="0">
    <w:p w14:paraId="552F4A4F" w14:textId="77777777" w:rsidR="000E5136" w:rsidRDefault="000E5136" w:rsidP="001715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E71EE0"/>
    <w:multiLevelType w:val="hybridMultilevel"/>
    <w:tmpl w:val="4D94AE8E"/>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8BC65B9"/>
    <w:multiLevelType w:val="hybridMultilevel"/>
    <w:tmpl w:val="7646F638"/>
    <w:lvl w:ilvl="0" w:tplc="20000019">
      <w:start w:val="1"/>
      <w:numFmt w:val="lowerLetter"/>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 w15:restartNumberingAfterBreak="0">
    <w:nsid w:val="47F7127B"/>
    <w:multiLevelType w:val="hybridMultilevel"/>
    <w:tmpl w:val="6286304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76127498"/>
    <w:multiLevelType w:val="hybridMultilevel"/>
    <w:tmpl w:val="5D26EE2A"/>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num w:numId="1" w16cid:durableId="594436605">
    <w:abstractNumId w:val="3"/>
  </w:num>
  <w:num w:numId="2" w16cid:durableId="2058779402">
    <w:abstractNumId w:val="0"/>
  </w:num>
  <w:num w:numId="3" w16cid:durableId="1129401383">
    <w:abstractNumId w:val="1"/>
  </w:num>
  <w:num w:numId="4" w16cid:durableId="64108323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obert Waruiru">
    <w15:presenceInfo w15:providerId="Windows Live" w15:userId="ee1e4afa7d16fd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696"/>
    <w:rsid w:val="0007642D"/>
    <w:rsid w:val="000E5136"/>
    <w:rsid w:val="001715ED"/>
    <w:rsid w:val="001C59FA"/>
    <w:rsid w:val="001D29C7"/>
    <w:rsid w:val="001D48B1"/>
    <w:rsid w:val="001E5769"/>
    <w:rsid w:val="00203CF0"/>
    <w:rsid w:val="00213150"/>
    <w:rsid w:val="00313514"/>
    <w:rsid w:val="00373696"/>
    <w:rsid w:val="0037491B"/>
    <w:rsid w:val="003C3536"/>
    <w:rsid w:val="004E70A1"/>
    <w:rsid w:val="00667FA1"/>
    <w:rsid w:val="00704B54"/>
    <w:rsid w:val="007D6E71"/>
    <w:rsid w:val="007F7B0F"/>
    <w:rsid w:val="00811390"/>
    <w:rsid w:val="008B5AC3"/>
    <w:rsid w:val="008E1669"/>
    <w:rsid w:val="008E28E1"/>
    <w:rsid w:val="00A40966"/>
    <w:rsid w:val="00AD7D68"/>
    <w:rsid w:val="00B14E31"/>
    <w:rsid w:val="00C23F6E"/>
    <w:rsid w:val="00CA4B65"/>
    <w:rsid w:val="00CD0714"/>
    <w:rsid w:val="00D318BA"/>
    <w:rsid w:val="00E9516F"/>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71E6C"/>
  <w15:chartTrackingRefBased/>
  <w15:docId w15:val="{DC6CC198-2198-4FF7-B5F8-66453FC6A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K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36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36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36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36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36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36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36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36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36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6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36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36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36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36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36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36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36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3696"/>
    <w:rPr>
      <w:rFonts w:eastAsiaTheme="majorEastAsia" w:cstheme="majorBidi"/>
      <w:color w:val="272727" w:themeColor="text1" w:themeTint="D8"/>
    </w:rPr>
  </w:style>
  <w:style w:type="paragraph" w:styleId="Title">
    <w:name w:val="Title"/>
    <w:basedOn w:val="Normal"/>
    <w:next w:val="Normal"/>
    <w:link w:val="TitleChar"/>
    <w:uiPriority w:val="10"/>
    <w:qFormat/>
    <w:rsid w:val="003736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36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36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36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3696"/>
    <w:pPr>
      <w:spacing w:before="160"/>
      <w:jc w:val="center"/>
    </w:pPr>
    <w:rPr>
      <w:i/>
      <w:iCs/>
      <w:color w:val="404040" w:themeColor="text1" w:themeTint="BF"/>
    </w:rPr>
  </w:style>
  <w:style w:type="character" w:customStyle="1" w:styleId="QuoteChar">
    <w:name w:val="Quote Char"/>
    <w:basedOn w:val="DefaultParagraphFont"/>
    <w:link w:val="Quote"/>
    <w:uiPriority w:val="29"/>
    <w:rsid w:val="00373696"/>
    <w:rPr>
      <w:i/>
      <w:iCs/>
      <w:color w:val="404040" w:themeColor="text1" w:themeTint="BF"/>
    </w:rPr>
  </w:style>
  <w:style w:type="paragraph" w:styleId="ListParagraph">
    <w:name w:val="List Paragraph"/>
    <w:basedOn w:val="Normal"/>
    <w:uiPriority w:val="34"/>
    <w:qFormat/>
    <w:rsid w:val="00373696"/>
    <w:pPr>
      <w:ind w:left="720"/>
      <w:contextualSpacing/>
    </w:pPr>
  </w:style>
  <w:style w:type="character" w:styleId="IntenseEmphasis">
    <w:name w:val="Intense Emphasis"/>
    <w:basedOn w:val="DefaultParagraphFont"/>
    <w:uiPriority w:val="21"/>
    <w:qFormat/>
    <w:rsid w:val="00373696"/>
    <w:rPr>
      <w:i/>
      <w:iCs/>
      <w:color w:val="0F4761" w:themeColor="accent1" w:themeShade="BF"/>
    </w:rPr>
  </w:style>
  <w:style w:type="paragraph" w:styleId="IntenseQuote">
    <w:name w:val="Intense Quote"/>
    <w:basedOn w:val="Normal"/>
    <w:next w:val="Normal"/>
    <w:link w:val="IntenseQuoteChar"/>
    <w:uiPriority w:val="30"/>
    <w:qFormat/>
    <w:rsid w:val="003736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3696"/>
    <w:rPr>
      <w:i/>
      <w:iCs/>
      <w:color w:val="0F4761" w:themeColor="accent1" w:themeShade="BF"/>
    </w:rPr>
  </w:style>
  <w:style w:type="character" w:styleId="IntenseReference">
    <w:name w:val="Intense Reference"/>
    <w:basedOn w:val="DefaultParagraphFont"/>
    <w:uiPriority w:val="32"/>
    <w:qFormat/>
    <w:rsid w:val="00373696"/>
    <w:rPr>
      <w:b/>
      <w:bCs/>
      <w:smallCaps/>
      <w:color w:val="0F4761" w:themeColor="accent1" w:themeShade="BF"/>
      <w:spacing w:val="5"/>
    </w:rPr>
  </w:style>
  <w:style w:type="paragraph" w:styleId="Header">
    <w:name w:val="header"/>
    <w:basedOn w:val="Normal"/>
    <w:link w:val="HeaderChar"/>
    <w:uiPriority w:val="99"/>
    <w:unhideWhenUsed/>
    <w:rsid w:val="001715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15ED"/>
  </w:style>
  <w:style w:type="paragraph" w:styleId="Footer">
    <w:name w:val="footer"/>
    <w:basedOn w:val="Normal"/>
    <w:link w:val="FooterChar"/>
    <w:uiPriority w:val="99"/>
    <w:unhideWhenUsed/>
    <w:rsid w:val="001715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15ED"/>
  </w:style>
  <w:style w:type="paragraph" w:styleId="Revision">
    <w:name w:val="Revision"/>
    <w:hidden/>
    <w:uiPriority w:val="99"/>
    <w:semiHidden/>
    <w:rsid w:val="00D318BA"/>
    <w:pPr>
      <w:spacing w:after="0" w:line="240" w:lineRule="auto"/>
    </w:pPr>
  </w:style>
  <w:style w:type="paragraph" w:styleId="BodyText">
    <w:name w:val="Body Text"/>
    <w:basedOn w:val="Normal"/>
    <w:link w:val="BodyTextChar"/>
    <w:rsid w:val="001C59FA"/>
    <w:pPr>
      <w:spacing w:before="130" w:after="130" w:line="260" w:lineRule="atLeast"/>
    </w:pPr>
    <w:rPr>
      <w:rFonts w:ascii="Times New Roman" w:eastAsia="Times New Roman" w:hAnsi="Times New Roman" w:cs="Times New Roman"/>
      <w:kern w:val="0"/>
      <w:szCs w:val="20"/>
      <w:lang w:val="en-US"/>
      <w14:ligatures w14:val="none"/>
    </w:rPr>
  </w:style>
  <w:style w:type="character" w:customStyle="1" w:styleId="BodyTextChar">
    <w:name w:val="Body Text Char"/>
    <w:basedOn w:val="DefaultParagraphFont"/>
    <w:link w:val="BodyText"/>
    <w:rsid w:val="001C59FA"/>
    <w:rPr>
      <w:rFonts w:ascii="Times New Roman" w:eastAsia="Times New Roman" w:hAnsi="Times New Roman" w:cs="Times New Roman"/>
      <w:kern w:val="0"/>
      <w:szCs w:val="20"/>
      <w:lang w:val="en-US"/>
      <w14:ligatures w14:val="none"/>
    </w:rPr>
  </w:style>
  <w:style w:type="character" w:styleId="Hyperlink">
    <w:name w:val="Hyperlink"/>
    <w:basedOn w:val="DefaultParagraphFont"/>
    <w:rsid w:val="001C59FA"/>
    <w:rPr>
      <w:color w:val="0000FF"/>
      <w:u w:val="single"/>
    </w:rPr>
  </w:style>
  <w:style w:type="character" w:styleId="CommentReference">
    <w:name w:val="annotation reference"/>
    <w:basedOn w:val="DefaultParagraphFont"/>
    <w:uiPriority w:val="99"/>
    <w:semiHidden/>
    <w:unhideWhenUsed/>
    <w:rsid w:val="001E5769"/>
    <w:rPr>
      <w:sz w:val="16"/>
      <w:szCs w:val="16"/>
    </w:rPr>
  </w:style>
  <w:style w:type="paragraph" w:styleId="CommentText">
    <w:name w:val="annotation text"/>
    <w:basedOn w:val="Normal"/>
    <w:link w:val="CommentTextChar"/>
    <w:uiPriority w:val="99"/>
    <w:unhideWhenUsed/>
    <w:rsid w:val="001E5769"/>
    <w:pPr>
      <w:spacing w:line="240" w:lineRule="auto"/>
    </w:pPr>
    <w:rPr>
      <w:sz w:val="20"/>
      <w:szCs w:val="20"/>
    </w:rPr>
  </w:style>
  <w:style w:type="character" w:customStyle="1" w:styleId="CommentTextChar">
    <w:name w:val="Comment Text Char"/>
    <w:basedOn w:val="DefaultParagraphFont"/>
    <w:link w:val="CommentText"/>
    <w:uiPriority w:val="99"/>
    <w:rsid w:val="001E5769"/>
    <w:rPr>
      <w:sz w:val="20"/>
      <w:szCs w:val="20"/>
    </w:rPr>
  </w:style>
  <w:style w:type="paragraph" w:styleId="CommentSubject">
    <w:name w:val="annotation subject"/>
    <w:basedOn w:val="CommentText"/>
    <w:next w:val="CommentText"/>
    <w:link w:val="CommentSubjectChar"/>
    <w:uiPriority w:val="99"/>
    <w:semiHidden/>
    <w:unhideWhenUsed/>
    <w:rsid w:val="001E5769"/>
    <w:rPr>
      <w:b/>
      <w:bCs/>
    </w:rPr>
  </w:style>
  <w:style w:type="character" w:customStyle="1" w:styleId="CommentSubjectChar">
    <w:name w:val="Comment Subject Char"/>
    <w:basedOn w:val="CommentTextChar"/>
    <w:link w:val="CommentSubject"/>
    <w:uiPriority w:val="99"/>
    <w:semiHidden/>
    <w:rsid w:val="001E57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microsoft.com/office/2016/09/relationships/commentsIds" Target="commentsIds.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8D02369-53C6-4511-ACD9-9C30D2D9B649}" type="doc">
      <dgm:prSet loTypeId="urn:microsoft.com/office/officeart/2011/layout/CircleProcess" loCatId="process" qsTypeId="urn:microsoft.com/office/officeart/2005/8/quickstyle/simple1" qsCatId="simple" csTypeId="urn:microsoft.com/office/officeart/2005/8/colors/colorful5" csCatId="colorful" phldr="1"/>
      <dgm:spPr/>
      <dgm:t>
        <a:bodyPr/>
        <a:lstStyle/>
        <a:p>
          <a:endParaRPr lang="en-KE"/>
        </a:p>
      </dgm:t>
    </dgm:pt>
    <dgm:pt modelId="{096E47B4-7759-409D-B008-6EE0A7794AF6}">
      <dgm:prSet phldrT="[Text]"/>
      <dgm:spPr/>
      <dgm:t>
        <a:bodyPr/>
        <a:lstStyle/>
        <a:p>
          <a:pPr>
            <a:buClrTx/>
            <a:buSzTx/>
            <a:buFont typeface="Arial" panose="020B0604020202020204" pitchFamily="34" charset="0"/>
            <a:buChar char="•"/>
          </a:pPr>
          <a:r>
            <a:rPr lang="en-KE"/>
            <a:t>Reporting Financial Institutions </a:t>
          </a:r>
        </a:p>
      </dgm:t>
    </dgm:pt>
    <dgm:pt modelId="{2528E4A4-C645-4910-90C4-3220D1F5FDAF}" type="parTrans" cxnId="{8107232B-32E8-4725-A90C-6B9356C3B9CD}">
      <dgm:prSet/>
      <dgm:spPr/>
      <dgm:t>
        <a:bodyPr/>
        <a:lstStyle/>
        <a:p>
          <a:endParaRPr lang="en-KE"/>
        </a:p>
      </dgm:t>
    </dgm:pt>
    <dgm:pt modelId="{F9ADE2D9-A95D-4B13-96D7-391FC138A017}" type="sibTrans" cxnId="{8107232B-32E8-4725-A90C-6B9356C3B9CD}">
      <dgm:prSet/>
      <dgm:spPr/>
      <dgm:t>
        <a:bodyPr/>
        <a:lstStyle/>
        <a:p>
          <a:endParaRPr lang="en-KE"/>
        </a:p>
      </dgm:t>
    </dgm:pt>
    <dgm:pt modelId="{3B14C13B-F971-4DD7-9301-619F963EDBFB}">
      <dgm:prSet phldrT="[Text]"/>
      <dgm:spPr/>
      <dgm:t>
        <a:bodyPr/>
        <a:lstStyle/>
        <a:p>
          <a:r>
            <a:rPr lang="en-US"/>
            <a:t>Reportable Accounts</a:t>
          </a:r>
          <a:endParaRPr lang="en-KE"/>
        </a:p>
      </dgm:t>
    </dgm:pt>
    <dgm:pt modelId="{6573D229-3CF3-47B8-8AB4-6BA9F563A849}" type="parTrans" cxnId="{091E10B8-268B-4DA8-A5CF-30ABE459067C}">
      <dgm:prSet/>
      <dgm:spPr/>
      <dgm:t>
        <a:bodyPr/>
        <a:lstStyle/>
        <a:p>
          <a:endParaRPr lang="en-KE"/>
        </a:p>
      </dgm:t>
    </dgm:pt>
    <dgm:pt modelId="{66C732FC-4EDD-4E84-B671-702793DA5A2B}" type="sibTrans" cxnId="{091E10B8-268B-4DA8-A5CF-30ABE459067C}">
      <dgm:prSet/>
      <dgm:spPr/>
      <dgm:t>
        <a:bodyPr/>
        <a:lstStyle/>
        <a:p>
          <a:endParaRPr lang="en-KE"/>
        </a:p>
      </dgm:t>
    </dgm:pt>
    <dgm:pt modelId="{94FF7396-A489-4389-B141-5C9AD9805FCC}">
      <dgm:prSet/>
      <dgm:spPr/>
      <dgm:t>
        <a:bodyPr/>
        <a:lstStyle/>
        <a:p>
          <a:r>
            <a:rPr lang="en-US"/>
            <a:t>Due Diligence Rules</a:t>
          </a:r>
          <a:endParaRPr lang="en-KE"/>
        </a:p>
      </dgm:t>
    </dgm:pt>
    <dgm:pt modelId="{639C9680-9EF4-4774-B38D-4C1AF4F535F7}" type="parTrans" cxnId="{3A2FDD51-5018-4353-8DB4-8CFDB7CB66D6}">
      <dgm:prSet/>
      <dgm:spPr/>
      <dgm:t>
        <a:bodyPr/>
        <a:lstStyle/>
        <a:p>
          <a:endParaRPr lang="en-KE"/>
        </a:p>
      </dgm:t>
    </dgm:pt>
    <dgm:pt modelId="{EF6529AF-E788-46E9-A62A-5F7EEB2D9FF2}" type="sibTrans" cxnId="{3A2FDD51-5018-4353-8DB4-8CFDB7CB66D6}">
      <dgm:prSet/>
      <dgm:spPr/>
      <dgm:t>
        <a:bodyPr/>
        <a:lstStyle/>
        <a:p>
          <a:endParaRPr lang="en-KE"/>
        </a:p>
      </dgm:t>
    </dgm:pt>
    <dgm:pt modelId="{39610467-01F1-462A-86DF-5FD0B8823D85}">
      <dgm:prSet/>
      <dgm:spPr/>
      <dgm:t>
        <a:bodyPr/>
        <a:lstStyle/>
        <a:p>
          <a:r>
            <a:rPr lang="en-US"/>
            <a:t>Report Relevant Information</a:t>
          </a:r>
          <a:endParaRPr lang="en-KE"/>
        </a:p>
      </dgm:t>
    </dgm:pt>
    <dgm:pt modelId="{E99F35F1-F3E7-4979-92E5-9FAA8FFDD897}" type="parTrans" cxnId="{DFB28EB8-24C4-4FF7-93C2-EA8300D4E5C9}">
      <dgm:prSet/>
      <dgm:spPr/>
      <dgm:t>
        <a:bodyPr/>
        <a:lstStyle/>
        <a:p>
          <a:endParaRPr lang="en-KE"/>
        </a:p>
      </dgm:t>
    </dgm:pt>
    <dgm:pt modelId="{D005550B-EB58-48CC-A706-68DC924763FC}" type="sibTrans" cxnId="{DFB28EB8-24C4-4FF7-93C2-EA8300D4E5C9}">
      <dgm:prSet/>
      <dgm:spPr/>
      <dgm:t>
        <a:bodyPr/>
        <a:lstStyle/>
        <a:p>
          <a:endParaRPr lang="en-KE"/>
        </a:p>
      </dgm:t>
    </dgm:pt>
    <dgm:pt modelId="{E02D5FE0-81EB-43AF-80A7-7A1A21C51708}">
      <dgm:prSet/>
      <dgm:spPr/>
      <dgm:t>
        <a:bodyPr/>
        <a:lstStyle/>
        <a:p>
          <a:pPr algn="ctr"/>
          <a:endParaRPr lang="en-KE"/>
        </a:p>
      </dgm:t>
    </dgm:pt>
    <dgm:pt modelId="{37B5CA49-6B04-48E9-A92F-B28209D3680B}" type="parTrans" cxnId="{7EFF9FF0-1FA5-44E4-A09F-977E49F2D440}">
      <dgm:prSet/>
      <dgm:spPr/>
      <dgm:t>
        <a:bodyPr/>
        <a:lstStyle/>
        <a:p>
          <a:endParaRPr lang="en-KE"/>
        </a:p>
      </dgm:t>
    </dgm:pt>
    <dgm:pt modelId="{65274FF6-B97E-4711-A804-696FCD9FD9E4}" type="sibTrans" cxnId="{7EFF9FF0-1FA5-44E4-A09F-977E49F2D440}">
      <dgm:prSet/>
      <dgm:spPr/>
      <dgm:t>
        <a:bodyPr/>
        <a:lstStyle/>
        <a:p>
          <a:endParaRPr lang="en-KE"/>
        </a:p>
      </dgm:t>
    </dgm:pt>
    <dgm:pt modelId="{B98A3087-7556-492B-8A2B-D47C68F8BC1C}">
      <dgm:prSet phldrT="[Text]"/>
      <dgm:spPr/>
      <dgm:t>
        <a:bodyPr/>
        <a:lstStyle/>
        <a:p>
          <a:r>
            <a:rPr lang="en-KE"/>
            <a:t>Financial Accounts</a:t>
          </a:r>
        </a:p>
      </dgm:t>
    </dgm:pt>
    <dgm:pt modelId="{0CC1BE43-42CC-4731-A074-8EAD42924A98}" type="sibTrans" cxnId="{ED8D0506-2827-421B-9C03-78B02434DB3A}">
      <dgm:prSet/>
      <dgm:spPr/>
      <dgm:t>
        <a:bodyPr/>
        <a:lstStyle/>
        <a:p>
          <a:endParaRPr lang="en-KE"/>
        </a:p>
      </dgm:t>
    </dgm:pt>
    <dgm:pt modelId="{B69ABBCD-787F-4A56-A748-D1744CEF74B4}" type="parTrans" cxnId="{ED8D0506-2827-421B-9C03-78B02434DB3A}">
      <dgm:prSet/>
      <dgm:spPr/>
      <dgm:t>
        <a:bodyPr/>
        <a:lstStyle/>
        <a:p>
          <a:endParaRPr lang="en-KE"/>
        </a:p>
      </dgm:t>
    </dgm:pt>
    <dgm:pt modelId="{49708AFD-04B1-4362-860C-9E2C5CCDFB51}">
      <dgm:prSet/>
      <dgm:spPr/>
      <dgm:t>
        <a:bodyPr/>
        <a:lstStyle/>
        <a:p>
          <a:endParaRPr lang="en-KE"/>
        </a:p>
      </dgm:t>
    </dgm:pt>
    <dgm:pt modelId="{14306A43-16CC-4F67-810D-E6AD71DDBA20}" type="parTrans" cxnId="{64297BEE-5C40-4146-86B2-F44800E5B61B}">
      <dgm:prSet/>
      <dgm:spPr/>
      <dgm:t>
        <a:bodyPr/>
        <a:lstStyle/>
        <a:p>
          <a:endParaRPr lang="en-KE"/>
        </a:p>
      </dgm:t>
    </dgm:pt>
    <dgm:pt modelId="{D4BC79EE-5153-495D-AE1E-4DA8346023ED}" type="sibTrans" cxnId="{64297BEE-5C40-4146-86B2-F44800E5B61B}">
      <dgm:prSet/>
      <dgm:spPr/>
      <dgm:t>
        <a:bodyPr/>
        <a:lstStyle/>
        <a:p>
          <a:endParaRPr lang="en-KE"/>
        </a:p>
      </dgm:t>
    </dgm:pt>
    <dgm:pt modelId="{88ECA508-655F-4134-BBEE-FE43697131CE}">
      <dgm:prSet/>
      <dgm:spPr/>
      <dgm:t>
        <a:bodyPr/>
        <a:lstStyle/>
        <a:p>
          <a:endParaRPr lang="en-KE"/>
        </a:p>
      </dgm:t>
    </dgm:pt>
    <dgm:pt modelId="{2BDA68FA-0AC6-4443-A775-86F83FA8715D}" type="parTrans" cxnId="{80CDF028-791F-4226-A077-71C45421FC8C}">
      <dgm:prSet/>
      <dgm:spPr/>
      <dgm:t>
        <a:bodyPr/>
        <a:lstStyle/>
        <a:p>
          <a:endParaRPr lang="en-KE"/>
        </a:p>
      </dgm:t>
    </dgm:pt>
    <dgm:pt modelId="{C84C45CC-86C7-4C59-8224-31FD5771F3DB}" type="sibTrans" cxnId="{80CDF028-791F-4226-A077-71C45421FC8C}">
      <dgm:prSet/>
      <dgm:spPr/>
      <dgm:t>
        <a:bodyPr/>
        <a:lstStyle/>
        <a:p>
          <a:endParaRPr lang="en-KE"/>
        </a:p>
      </dgm:t>
    </dgm:pt>
    <dgm:pt modelId="{762C7BE6-FE06-4488-A86E-185D5691DD73}">
      <dgm:prSet/>
      <dgm:spPr/>
      <dgm:t>
        <a:bodyPr/>
        <a:lstStyle/>
        <a:p>
          <a:endParaRPr lang="en-KE"/>
        </a:p>
      </dgm:t>
    </dgm:pt>
    <dgm:pt modelId="{9D00F292-0F0C-4CDE-8195-F28F9E9CBDCC}" type="parTrans" cxnId="{D28EF5C0-7880-450C-859F-4CA7B46632A3}">
      <dgm:prSet/>
      <dgm:spPr/>
      <dgm:t>
        <a:bodyPr/>
        <a:lstStyle/>
        <a:p>
          <a:endParaRPr lang="en-KE"/>
        </a:p>
      </dgm:t>
    </dgm:pt>
    <dgm:pt modelId="{EEAC7576-0F09-4F37-8218-DD736ACFB067}" type="sibTrans" cxnId="{D28EF5C0-7880-450C-859F-4CA7B46632A3}">
      <dgm:prSet/>
      <dgm:spPr/>
      <dgm:t>
        <a:bodyPr/>
        <a:lstStyle/>
        <a:p>
          <a:endParaRPr lang="en-KE"/>
        </a:p>
      </dgm:t>
    </dgm:pt>
    <dgm:pt modelId="{C4638884-9EB3-4372-B8E7-B03407C929F7}" type="pres">
      <dgm:prSet presAssocID="{98D02369-53C6-4511-ACD9-9C30D2D9B649}" presName="Name0" presStyleCnt="0">
        <dgm:presLayoutVars>
          <dgm:chMax val="11"/>
          <dgm:chPref val="11"/>
          <dgm:dir/>
          <dgm:resizeHandles/>
        </dgm:presLayoutVars>
      </dgm:prSet>
      <dgm:spPr/>
    </dgm:pt>
    <dgm:pt modelId="{9841227F-861C-4037-A689-47C86953A5AB}" type="pres">
      <dgm:prSet presAssocID="{39610467-01F1-462A-86DF-5FD0B8823D85}" presName="Accent5" presStyleCnt="0"/>
      <dgm:spPr/>
    </dgm:pt>
    <dgm:pt modelId="{3CC7A4BE-5857-4592-B549-3A99FB42A988}" type="pres">
      <dgm:prSet presAssocID="{39610467-01F1-462A-86DF-5FD0B8823D85}" presName="Accent" presStyleLbl="node1" presStyleIdx="0" presStyleCnt="5"/>
      <dgm:spPr/>
    </dgm:pt>
    <dgm:pt modelId="{FB9C86A7-E360-4FE6-BB66-CE5654BCF914}" type="pres">
      <dgm:prSet presAssocID="{39610467-01F1-462A-86DF-5FD0B8823D85}" presName="ParentBackground5" presStyleCnt="0"/>
      <dgm:spPr/>
    </dgm:pt>
    <dgm:pt modelId="{1239D8B7-2B15-4FD3-83C0-D42B9D01B98C}" type="pres">
      <dgm:prSet presAssocID="{39610467-01F1-462A-86DF-5FD0B8823D85}" presName="ParentBackground" presStyleLbl="fgAcc1" presStyleIdx="0" presStyleCnt="5"/>
      <dgm:spPr/>
    </dgm:pt>
    <dgm:pt modelId="{D5FD8865-5967-4599-BFA9-BAA227EA0DCF}" type="pres">
      <dgm:prSet presAssocID="{39610467-01F1-462A-86DF-5FD0B8823D85}" presName="Child5" presStyleLbl="revTx" presStyleIdx="0" presStyleCnt="4">
        <dgm:presLayoutVars>
          <dgm:chMax val="0"/>
          <dgm:chPref val="0"/>
          <dgm:bulletEnabled val="1"/>
        </dgm:presLayoutVars>
      </dgm:prSet>
      <dgm:spPr/>
    </dgm:pt>
    <dgm:pt modelId="{10B9526B-97A0-4771-A32F-3BE99299776E}" type="pres">
      <dgm:prSet presAssocID="{39610467-01F1-462A-86DF-5FD0B8823D85}" presName="Parent5" presStyleLbl="revTx" presStyleIdx="0" presStyleCnt="4">
        <dgm:presLayoutVars>
          <dgm:chMax val="1"/>
          <dgm:chPref val="1"/>
          <dgm:bulletEnabled val="1"/>
        </dgm:presLayoutVars>
      </dgm:prSet>
      <dgm:spPr/>
    </dgm:pt>
    <dgm:pt modelId="{35571A14-98A8-4BD2-80C5-6FD737A145EF}" type="pres">
      <dgm:prSet presAssocID="{94FF7396-A489-4389-B141-5C9AD9805FCC}" presName="Accent4" presStyleCnt="0"/>
      <dgm:spPr/>
    </dgm:pt>
    <dgm:pt modelId="{601E7547-F3DD-4CC7-B255-B3C26E3C9B46}" type="pres">
      <dgm:prSet presAssocID="{94FF7396-A489-4389-B141-5C9AD9805FCC}" presName="Accent" presStyleLbl="node1" presStyleIdx="1" presStyleCnt="5"/>
      <dgm:spPr/>
    </dgm:pt>
    <dgm:pt modelId="{BDC4CCA4-E7E4-4D8D-A25B-1ED35F6255EC}" type="pres">
      <dgm:prSet presAssocID="{94FF7396-A489-4389-B141-5C9AD9805FCC}" presName="ParentBackground4" presStyleCnt="0"/>
      <dgm:spPr/>
    </dgm:pt>
    <dgm:pt modelId="{771C5E8F-0CEA-4181-BE12-6F211B1A99FB}" type="pres">
      <dgm:prSet presAssocID="{94FF7396-A489-4389-B141-5C9AD9805FCC}" presName="ParentBackground" presStyleLbl="fgAcc1" presStyleIdx="1" presStyleCnt="5" custLinFactNeighborX="-1698"/>
      <dgm:spPr/>
    </dgm:pt>
    <dgm:pt modelId="{6164D111-2EAB-491E-95B5-ACBB8DD33C09}" type="pres">
      <dgm:prSet presAssocID="{94FF7396-A489-4389-B141-5C9AD9805FCC}" presName="Parent4" presStyleLbl="revTx" presStyleIdx="0" presStyleCnt="4">
        <dgm:presLayoutVars>
          <dgm:chMax val="1"/>
          <dgm:chPref val="1"/>
          <dgm:bulletEnabled val="1"/>
        </dgm:presLayoutVars>
      </dgm:prSet>
      <dgm:spPr/>
    </dgm:pt>
    <dgm:pt modelId="{0828A115-FDFE-4A93-A333-33D999CD0467}" type="pres">
      <dgm:prSet presAssocID="{3B14C13B-F971-4DD7-9301-619F963EDBFB}" presName="Accent3" presStyleCnt="0"/>
      <dgm:spPr/>
    </dgm:pt>
    <dgm:pt modelId="{ACFE7FD3-F64E-495A-8136-C8387F489893}" type="pres">
      <dgm:prSet presAssocID="{3B14C13B-F971-4DD7-9301-619F963EDBFB}" presName="Accent" presStyleLbl="node1" presStyleIdx="2" presStyleCnt="5"/>
      <dgm:spPr/>
    </dgm:pt>
    <dgm:pt modelId="{17EFD135-92C4-4C3C-93D3-52AC99DD2AE3}" type="pres">
      <dgm:prSet presAssocID="{3B14C13B-F971-4DD7-9301-619F963EDBFB}" presName="ParentBackground3" presStyleCnt="0"/>
      <dgm:spPr/>
    </dgm:pt>
    <dgm:pt modelId="{C9520A22-057C-411A-849C-55F0A719C577}" type="pres">
      <dgm:prSet presAssocID="{3B14C13B-F971-4DD7-9301-619F963EDBFB}" presName="ParentBackground" presStyleLbl="fgAcc1" presStyleIdx="2" presStyleCnt="5"/>
      <dgm:spPr/>
    </dgm:pt>
    <dgm:pt modelId="{3EA43A6D-1B45-46A8-8ABD-608621CCE531}" type="pres">
      <dgm:prSet presAssocID="{3B14C13B-F971-4DD7-9301-619F963EDBFB}" presName="Child3" presStyleLbl="revTx" presStyleIdx="1" presStyleCnt="4">
        <dgm:presLayoutVars>
          <dgm:chMax val="0"/>
          <dgm:chPref val="0"/>
          <dgm:bulletEnabled val="1"/>
        </dgm:presLayoutVars>
      </dgm:prSet>
      <dgm:spPr/>
    </dgm:pt>
    <dgm:pt modelId="{1B0DA379-D1B6-481B-A979-BCE9C246FB2B}" type="pres">
      <dgm:prSet presAssocID="{3B14C13B-F971-4DD7-9301-619F963EDBFB}" presName="Parent3" presStyleLbl="revTx" presStyleIdx="1" presStyleCnt="4">
        <dgm:presLayoutVars>
          <dgm:chMax val="1"/>
          <dgm:chPref val="1"/>
          <dgm:bulletEnabled val="1"/>
        </dgm:presLayoutVars>
      </dgm:prSet>
      <dgm:spPr/>
    </dgm:pt>
    <dgm:pt modelId="{E1A0B9E5-7398-4FAB-A490-36767B729069}" type="pres">
      <dgm:prSet presAssocID="{B98A3087-7556-492B-8A2B-D47C68F8BC1C}" presName="Accent2" presStyleCnt="0"/>
      <dgm:spPr/>
    </dgm:pt>
    <dgm:pt modelId="{939B7597-A9B6-4326-8382-70321A8AAAE6}" type="pres">
      <dgm:prSet presAssocID="{B98A3087-7556-492B-8A2B-D47C68F8BC1C}" presName="Accent" presStyleLbl="node1" presStyleIdx="3" presStyleCnt="5"/>
      <dgm:spPr/>
    </dgm:pt>
    <dgm:pt modelId="{C8D87490-3345-402B-B02D-6B37523BD144}" type="pres">
      <dgm:prSet presAssocID="{B98A3087-7556-492B-8A2B-D47C68F8BC1C}" presName="ParentBackground2" presStyleCnt="0"/>
      <dgm:spPr/>
    </dgm:pt>
    <dgm:pt modelId="{EA605238-13B5-49CB-B884-1DE281BB66EA}" type="pres">
      <dgm:prSet presAssocID="{B98A3087-7556-492B-8A2B-D47C68F8BC1C}" presName="ParentBackground" presStyleLbl="fgAcc1" presStyleIdx="3" presStyleCnt="5"/>
      <dgm:spPr/>
    </dgm:pt>
    <dgm:pt modelId="{C58826FD-CE57-4F7D-8F72-28DB737A9306}" type="pres">
      <dgm:prSet presAssocID="{B98A3087-7556-492B-8A2B-D47C68F8BC1C}" presName="Child2" presStyleLbl="revTx" presStyleIdx="2" presStyleCnt="4">
        <dgm:presLayoutVars>
          <dgm:chMax val="0"/>
          <dgm:chPref val="0"/>
          <dgm:bulletEnabled val="1"/>
        </dgm:presLayoutVars>
      </dgm:prSet>
      <dgm:spPr/>
    </dgm:pt>
    <dgm:pt modelId="{BE782D0A-F746-43C0-950F-446F4527EA4C}" type="pres">
      <dgm:prSet presAssocID="{B98A3087-7556-492B-8A2B-D47C68F8BC1C}" presName="Parent2" presStyleLbl="revTx" presStyleIdx="2" presStyleCnt="4">
        <dgm:presLayoutVars>
          <dgm:chMax val="1"/>
          <dgm:chPref val="1"/>
          <dgm:bulletEnabled val="1"/>
        </dgm:presLayoutVars>
      </dgm:prSet>
      <dgm:spPr/>
    </dgm:pt>
    <dgm:pt modelId="{1DBBF4A3-55ED-481E-8EBC-7FBEE15914C0}" type="pres">
      <dgm:prSet presAssocID="{096E47B4-7759-409D-B008-6EE0A7794AF6}" presName="Accent1" presStyleCnt="0"/>
      <dgm:spPr/>
    </dgm:pt>
    <dgm:pt modelId="{22025411-37B0-40EB-9288-FB181E9F55C0}" type="pres">
      <dgm:prSet presAssocID="{096E47B4-7759-409D-B008-6EE0A7794AF6}" presName="Accent" presStyleLbl="node1" presStyleIdx="4" presStyleCnt="5"/>
      <dgm:spPr/>
    </dgm:pt>
    <dgm:pt modelId="{B4339C0C-6E07-49EE-9BF7-112C982130F0}" type="pres">
      <dgm:prSet presAssocID="{096E47B4-7759-409D-B008-6EE0A7794AF6}" presName="ParentBackground1" presStyleCnt="0"/>
      <dgm:spPr/>
    </dgm:pt>
    <dgm:pt modelId="{2CDC4325-0932-4084-A838-31D6C526D33A}" type="pres">
      <dgm:prSet presAssocID="{096E47B4-7759-409D-B008-6EE0A7794AF6}" presName="ParentBackground" presStyleLbl="fgAcc1" presStyleIdx="4" presStyleCnt="5"/>
      <dgm:spPr/>
    </dgm:pt>
    <dgm:pt modelId="{0F3F7590-6BE5-4510-AD79-3C56458CD6CA}" type="pres">
      <dgm:prSet presAssocID="{096E47B4-7759-409D-B008-6EE0A7794AF6}" presName="Child1" presStyleLbl="revTx" presStyleIdx="3" presStyleCnt="4">
        <dgm:presLayoutVars>
          <dgm:chMax val="0"/>
          <dgm:chPref val="0"/>
          <dgm:bulletEnabled val="1"/>
        </dgm:presLayoutVars>
      </dgm:prSet>
      <dgm:spPr/>
    </dgm:pt>
    <dgm:pt modelId="{1DEE6A44-BB9C-4F2F-B0E4-8BCDBF27A90B}" type="pres">
      <dgm:prSet presAssocID="{096E47B4-7759-409D-B008-6EE0A7794AF6}" presName="Parent1" presStyleLbl="revTx" presStyleIdx="3" presStyleCnt="4">
        <dgm:presLayoutVars>
          <dgm:chMax val="1"/>
          <dgm:chPref val="1"/>
          <dgm:bulletEnabled val="1"/>
        </dgm:presLayoutVars>
      </dgm:prSet>
      <dgm:spPr/>
    </dgm:pt>
  </dgm:ptLst>
  <dgm:cxnLst>
    <dgm:cxn modelId="{50EA4902-8A02-4138-9BEE-FBA522B5C176}" type="presOf" srcId="{E02D5FE0-81EB-43AF-80A7-7A1A21C51708}" destId="{0F3F7590-6BE5-4510-AD79-3C56458CD6CA}" srcOrd="0" destOrd="0" presId="urn:microsoft.com/office/officeart/2011/layout/CircleProcess"/>
    <dgm:cxn modelId="{ED8D0506-2827-421B-9C03-78B02434DB3A}" srcId="{98D02369-53C6-4511-ACD9-9C30D2D9B649}" destId="{B98A3087-7556-492B-8A2B-D47C68F8BC1C}" srcOrd="1" destOrd="0" parTransId="{B69ABBCD-787F-4A56-A748-D1744CEF74B4}" sibTransId="{0CC1BE43-42CC-4731-A074-8EAD42924A98}"/>
    <dgm:cxn modelId="{FE549908-0507-4524-B9EE-ADEE32BAD949}" type="presOf" srcId="{49708AFD-04B1-4362-860C-9E2C5CCDFB51}" destId="{3EA43A6D-1B45-46A8-8ABD-608621CCE531}" srcOrd="0" destOrd="0" presId="urn:microsoft.com/office/officeart/2011/layout/CircleProcess"/>
    <dgm:cxn modelId="{3539D118-8595-4985-980A-90DAAC326C22}" type="presOf" srcId="{762C7BE6-FE06-4488-A86E-185D5691DD73}" destId="{C58826FD-CE57-4F7D-8F72-28DB737A9306}" srcOrd="0" destOrd="0" presId="urn:microsoft.com/office/officeart/2011/layout/CircleProcess"/>
    <dgm:cxn modelId="{A1EAF623-D644-4ED2-AB6A-ECBDBB7D0A4D}" type="presOf" srcId="{88ECA508-655F-4134-BBEE-FE43697131CE}" destId="{D5FD8865-5967-4599-BFA9-BAA227EA0DCF}" srcOrd="0" destOrd="0" presId="urn:microsoft.com/office/officeart/2011/layout/CircleProcess"/>
    <dgm:cxn modelId="{80CDF028-791F-4226-A077-71C45421FC8C}" srcId="{39610467-01F1-462A-86DF-5FD0B8823D85}" destId="{88ECA508-655F-4134-BBEE-FE43697131CE}" srcOrd="0" destOrd="0" parTransId="{2BDA68FA-0AC6-4443-A775-86F83FA8715D}" sibTransId="{C84C45CC-86C7-4C59-8224-31FD5771F3DB}"/>
    <dgm:cxn modelId="{8107232B-32E8-4725-A90C-6B9356C3B9CD}" srcId="{98D02369-53C6-4511-ACD9-9C30D2D9B649}" destId="{096E47B4-7759-409D-B008-6EE0A7794AF6}" srcOrd="0" destOrd="0" parTransId="{2528E4A4-C645-4910-90C4-3220D1F5FDAF}" sibTransId="{F9ADE2D9-A95D-4B13-96D7-391FC138A017}"/>
    <dgm:cxn modelId="{79C37D33-4572-440F-921E-0A7B82F96D88}" type="presOf" srcId="{096E47B4-7759-409D-B008-6EE0A7794AF6}" destId="{2CDC4325-0932-4084-A838-31D6C526D33A}" srcOrd="0" destOrd="0" presId="urn:microsoft.com/office/officeart/2011/layout/CircleProcess"/>
    <dgm:cxn modelId="{C659875D-327D-4B92-BA5A-C3A708C873E5}" type="presOf" srcId="{3B14C13B-F971-4DD7-9301-619F963EDBFB}" destId="{1B0DA379-D1B6-481B-A979-BCE9C246FB2B}" srcOrd="1" destOrd="0" presId="urn:microsoft.com/office/officeart/2011/layout/CircleProcess"/>
    <dgm:cxn modelId="{00DD7063-36ED-4430-9DA5-B326AD7760CA}" type="presOf" srcId="{39610467-01F1-462A-86DF-5FD0B8823D85}" destId="{10B9526B-97A0-4771-A32F-3BE99299776E}" srcOrd="1" destOrd="0" presId="urn:microsoft.com/office/officeart/2011/layout/CircleProcess"/>
    <dgm:cxn modelId="{3A2FDD51-5018-4353-8DB4-8CFDB7CB66D6}" srcId="{98D02369-53C6-4511-ACD9-9C30D2D9B649}" destId="{94FF7396-A489-4389-B141-5C9AD9805FCC}" srcOrd="3" destOrd="0" parTransId="{639C9680-9EF4-4774-B38D-4C1AF4F535F7}" sibTransId="{EF6529AF-E788-46E9-A62A-5F7EEB2D9FF2}"/>
    <dgm:cxn modelId="{4652E671-031B-4D68-82C3-0F96E0628E74}" type="presOf" srcId="{94FF7396-A489-4389-B141-5C9AD9805FCC}" destId="{771C5E8F-0CEA-4181-BE12-6F211B1A99FB}" srcOrd="0" destOrd="0" presId="urn:microsoft.com/office/officeart/2011/layout/CircleProcess"/>
    <dgm:cxn modelId="{28057872-FD05-424C-99A0-B801D75A73C8}" type="presOf" srcId="{3B14C13B-F971-4DD7-9301-619F963EDBFB}" destId="{C9520A22-057C-411A-849C-55F0A719C577}" srcOrd="0" destOrd="0" presId="urn:microsoft.com/office/officeart/2011/layout/CircleProcess"/>
    <dgm:cxn modelId="{25363358-E909-46DB-8A26-6FCE215322ED}" type="presOf" srcId="{94FF7396-A489-4389-B141-5C9AD9805FCC}" destId="{6164D111-2EAB-491E-95B5-ACBB8DD33C09}" srcOrd="1" destOrd="0" presId="urn:microsoft.com/office/officeart/2011/layout/CircleProcess"/>
    <dgm:cxn modelId="{0E491B7C-C3FF-44C5-AA55-BAB9F1DE4CE6}" type="presOf" srcId="{39610467-01F1-462A-86DF-5FD0B8823D85}" destId="{1239D8B7-2B15-4FD3-83C0-D42B9D01B98C}" srcOrd="0" destOrd="0" presId="urn:microsoft.com/office/officeart/2011/layout/CircleProcess"/>
    <dgm:cxn modelId="{0434D58A-1E7D-426D-B9DB-E0D1F9C545BB}" type="presOf" srcId="{B98A3087-7556-492B-8A2B-D47C68F8BC1C}" destId="{BE782D0A-F746-43C0-950F-446F4527EA4C}" srcOrd="1" destOrd="0" presId="urn:microsoft.com/office/officeart/2011/layout/CircleProcess"/>
    <dgm:cxn modelId="{232DE293-7F9C-407A-BCBC-14634DE0B1C5}" type="presOf" srcId="{98D02369-53C6-4511-ACD9-9C30D2D9B649}" destId="{C4638884-9EB3-4372-B8E7-B03407C929F7}" srcOrd="0" destOrd="0" presId="urn:microsoft.com/office/officeart/2011/layout/CircleProcess"/>
    <dgm:cxn modelId="{7ACB589E-9133-4269-A65A-5D2F7F9CAFC6}" type="presOf" srcId="{B98A3087-7556-492B-8A2B-D47C68F8BC1C}" destId="{EA605238-13B5-49CB-B884-1DE281BB66EA}" srcOrd="0" destOrd="0" presId="urn:microsoft.com/office/officeart/2011/layout/CircleProcess"/>
    <dgm:cxn modelId="{B937BB9E-E100-4246-B7E0-AB1434798FA6}" type="presOf" srcId="{096E47B4-7759-409D-B008-6EE0A7794AF6}" destId="{1DEE6A44-BB9C-4F2F-B0E4-8BCDBF27A90B}" srcOrd="1" destOrd="0" presId="urn:microsoft.com/office/officeart/2011/layout/CircleProcess"/>
    <dgm:cxn modelId="{091E10B8-268B-4DA8-A5CF-30ABE459067C}" srcId="{98D02369-53C6-4511-ACD9-9C30D2D9B649}" destId="{3B14C13B-F971-4DD7-9301-619F963EDBFB}" srcOrd="2" destOrd="0" parTransId="{6573D229-3CF3-47B8-8AB4-6BA9F563A849}" sibTransId="{66C732FC-4EDD-4E84-B671-702793DA5A2B}"/>
    <dgm:cxn modelId="{DFB28EB8-24C4-4FF7-93C2-EA8300D4E5C9}" srcId="{98D02369-53C6-4511-ACD9-9C30D2D9B649}" destId="{39610467-01F1-462A-86DF-5FD0B8823D85}" srcOrd="4" destOrd="0" parTransId="{E99F35F1-F3E7-4979-92E5-9FAA8FFDD897}" sibTransId="{D005550B-EB58-48CC-A706-68DC924763FC}"/>
    <dgm:cxn modelId="{D28EF5C0-7880-450C-859F-4CA7B46632A3}" srcId="{B98A3087-7556-492B-8A2B-D47C68F8BC1C}" destId="{762C7BE6-FE06-4488-A86E-185D5691DD73}" srcOrd="0" destOrd="0" parTransId="{9D00F292-0F0C-4CDE-8195-F28F9E9CBDCC}" sibTransId="{EEAC7576-0F09-4F37-8218-DD736ACFB067}"/>
    <dgm:cxn modelId="{64297BEE-5C40-4146-86B2-F44800E5B61B}" srcId="{3B14C13B-F971-4DD7-9301-619F963EDBFB}" destId="{49708AFD-04B1-4362-860C-9E2C5CCDFB51}" srcOrd="0" destOrd="0" parTransId="{14306A43-16CC-4F67-810D-E6AD71DDBA20}" sibTransId="{D4BC79EE-5153-495D-AE1E-4DA8346023ED}"/>
    <dgm:cxn modelId="{7EFF9FF0-1FA5-44E4-A09F-977E49F2D440}" srcId="{096E47B4-7759-409D-B008-6EE0A7794AF6}" destId="{E02D5FE0-81EB-43AF-80A7-7A1A21C51708}" srcOrd="0" destOrd="0" parTransId="{37B5CA49-6B04-48E9-A92F-B28209D3680B}" sibTransId="{65274FF6-B97E-4711-A804-696FCD9FD9E4}"/>
    <dgm:cxn modelId="{3A3A89DE-45BD-4E8C-B248-5133995BA421}" type="presParOf" srcId="{C4638884-9EB3-4372-B8E7-B03407C929F7}" destId="{9841227F-861C-4037-A689-47C86953A5AB}" srcOrd="0" destOrd="0" presId="urn:microsoft.com/office/officeart/2011/layout/CircleProcess"/>
    <dgm:cxn modelId="{C68F59D7-BEAA-4A0B-8E9E-5F8D5502609B}" type="presParOf" srcId="{9841227F-861C-4037-A689-47C86953A5AB}" destId="{3CC7A4BE-5857-4592-B549-3A99FB42A988}" srcOrd="0" destOrd="0" presId="urn:microsoft.com/office/officeart/2011/layout/CircleProcess"/>
    <dgm:cxn modelId="{C954183A-4189-45EC-8769-92DA1C20B47F}" type="presParOf" srcId="{C4638884-9EB3-4372-B8E7-B03407C929F7}" destId="{FB9C86A7-E360-4FE6-BB66-CE5654BCF914}" srcOrd="1" destOrd="0" presId="urn:microsoft.com/office/officeart/2011/layout/CircleProcess"/>
    <dgm:cxn modelId="{4EE37A1D-73C3-44FB-8C55-50F1F38EE888}" type="presParOf" srcId="{FB9C86A7-E360-4FE6-BB66-CE5654BCF914}" destId="{1239D8B7-2B15-4FD3-83C0-D42B9D01B98C}" srcOrd="0" destOrd="0" presId="urn:microsoft.com/office/officeart/2011/layout/CircleProcess"/>
    <dgm:cxn modelId="{F9522418-39B1-483E-BC66-48FF5C3620E9}" type="presParOf" srcId="{C4638884-9EB3-4372-B8E7-B03407C929F7}" destId="{D5FD8865-5967-4599-BFA9-BAA227EA0DCF}" srcOrd="2" destOrd="0" presId="urn:microsoft.com/office/officeart/2011/layout/CircleProcess"/>
    <dgm:cxn modelId="{4C1266C9-3069-4460-A903-CEC59BE65CE1}" type="presParOf" srcId="{C4638884-9EB3-4372-B8E7-B03407C929F7}" destId="{10B9526B-97A0-4771-A32F-3BE99299776E}" srcOrd="3" destOrd="0" presId="urn:microsoft.com/office/officeart/2011/layout/CircleProcess"/>
    <dgm:cxn modelId="{12C351DE-E736-4451-B9C4-F473EBC84050}" type="presParOf" srcId="{C4638884-9EB3-4372-B8E7-B03407C929F7}" destId="{35571A14-98A8-4BD2-80C5-6FD737A145EF}" srcOrd="4" destOrd="0" presId="urn:microsoft.com/office/officeart/2011/layout/CircleProcess"/>
    <dgm:cxn modelId="{4DAA34BC-460B-4746-93CD-63D094B6F3CE}" type="presParOf" srcId="{35571A14-98A8-4BD2-80C5-6FD737A145EF}" destId="{601E7547-F3DD-4CC7-B255-B3C26E3C9B46}" srcOrd="0" destOrd="0" presId="urn:microsoft.com/office/officeart/2011/layout/CircleProcess"/>
    <dgm:cxn modelId="{6E6EE405-490A-424F-B538-3EDFF7069B64}" type="presParOf" srcId="{C4638884-9EB3-4372-B8E7-B03407C929F7}" destId="{BDC4CCA4-E7E4-4D8D-A25B-1ED35F6255EC}" srcOrd="5" destOrd="0" presId="urn:microsoft.com/office/officeart/2011/layout/CircleProcess"/>
    <dgm:cxn modelId="{A3A8091B-223D-49CD-897D-7C16987D0749}" type="presParOf" srcId="{BDC4CCA4-E7E4-4D8D-A25B-1ED35F6255EC}" destId="{771C5E8F-0CEA-4181-BE12-6F211B1A99FB}" srcOrd="0" destOrd="0" presId="urn:microsoft.com/office/officeart/2011/layout/CircleProcess"/>
    <dgm:cxn modelId="{1C720CE8-416B-4B60-87B2-324D6B549148}" type="presParOf" srcId="{C4638884-9EB3-4372-B8E7-B03407C929F7}" destId="{6164D111-2EAB-491E-95B5-ACBB8DD33C09}" srcOrd="6" destOrd="0" presId="urn:microsoft.com/office/officeart/2011/layout/CircleProcess"/>
    <dgm:cxn modelId="{B46584E1-3037-44EE-B217-6F79CDCEEAE2}" type="presParOf" srcId="{C4638884-9EB3-4372-B8E7-B03407C929F7}" destId="{0828A115-FDFE-4A93-A333-33D999CD0467}" srcOrd="7" destOrd="0" presId="urn:microsoft.com/office/officeart/2011/layout/CircleProcess"/>
    <dgm:cxn modelId="{A6BE12C5-6577-4067-843F-7932552E124C}" type="presParOf" srcId="{0828A115-FDFE-4A93-A333-33D999CD0467}" destId="{ACFE7FD3-F64E-495A-8136-C8387F489893}" srcOrd="0" destOrd="0" presId="urn:microsoft.com/office/officeart/2011/layout/CircleProcess"/>
    <dgm:cxn modelId="{F94E44D0-42AF-4548-8CD8-8307DF29573D}" type="presParOf" srcId="{C4638884-9EB3-4372-B8E7-B03407C929F7}" destId="{17EFD135-92C4-4C3C-93D3-52AC99DD2AE3}" srcOrd="8" destOrd="0" presId="urn:microsoft.com/office/officeart/2011/layout/CircleProcess"/>
    <dgm:cxn modelId="{C20522F1-4EA4-4E03-B508-1E5DDF4EAF39}" type="presParOf" srcId="{17EFD135-92C4-4C3C-93D3-52AC99DD2AE3}" destId="{C9520A22-057C-411A-849C-55F0A719C577}" srcOrd="0" destOrd="0" presId="urn:microsoft.com/office/officeart/2011/layout/CircleProcess"/>
    <dgm:cxn modelId="{391135F2-633D-4B08-B17D-9B3F5ED53AEB}" type="presParOf" srcId="{C4638884-9EB3-4372-B8E7-B03407C929F7}" destId="{3EA43A6D-1B45-46A8-8ABD-608621CCE531}" srcOrd="9" destOrd="0" presId="urn:microsoft.com/office/officeart/2011/layout/CircleProcess"/>
    <dgm:cxn modelId="{5836E6CE-8EF1-4088-BACC-984D7C47E3A0}" type="presParOf" srcId="{C4638884-9EB3-4372-B8E7-B03407C929F7}" destId="{1B0DA379-D1B6-481B-A979-BCE9C246FB2B}" srcOrd="10" destOrd="0" presId="urn:microsoft.com/office/officeart/2011/layout/CircleProcess"/>
    <dgm:cxn modelId="{9148D948-AF02-4765-BE25-F6CBC86E44DC}" type="presParOf" srcId="{C4638884-9EB3-4372-B8E7-B03407C929F7}" destId="{E1A0B9E5-7398-4FAB-A490-36767B729069}" srcOrd="11" destOrd="0" presId="urn:microsoft.com/office/officeart/2011/layout/CircleProcess"/>
    <dgm:cxn modelId="{7007112B-87DE-48B0-9DDD-6EE6510C8607}" type="presParOf" srcId="{E1A0B9E5-7398-4FAB-A490-36767B729069}" destId="{939B7597-A9B6-4326-8382-70321A8AAAE6}" srcOrd="0" destOrd="0" presId="urn:microsoft.com/office/officeart/2011/layout/CircleProcess"/>
    <dgm:cxn modelId="{595C7F6A-A478-4C58-9550-0AA0DBD9549B}" type="presParOf" srcId="{C4638884-9EB3-4372-B8E7-B03407C929F7}" destId="{C8D87490-3345-402B-B02D-6B37523BD144}" srcOrd="12" destOrd="0" presId="urn:microsoft.com/office/officeart/2011/layout/CircleProcess"/>
    <dgm:cxn modelId="{9120D519-10E2-4246-942B-DE3539920A22}" type="presParOf" srcId="{C8D87490-3345-402B-B02D-6B37523BD144}" destId="{EA605238-13B5-49CB-B884-1DE281BB66EA}" srcOrd="0" destOrd="0" presId="urn:microsoft.com/office/officeart/2011/layout/CircleProcess"/>
    <dgm:cxn modelId="{24107A5E-6DEF-4DD6-99D9-D20D54B91716}" type="presParOf" srcId="{C4638884-9EB3-4372-B8E7-B03407C929F7}" destId="{C58826FD-CE57-4F7D-8F72-28DB737A9306}" srcOrd="13" destOrd="0" presId="urn:microsoft.com/office/officeart/2011/layout/CircleProcess"/>
    <dgm:cxn modelId="{FB75C659-E9C3-437C-9913-443174C7DDA0}" type="presParOf" srcId="{C4638884-9EB3-4372-B8E7-B03407C929F7}" destId="{BE782D0A-F746-43C0-950F-446F4527EA4C}" srcOrd="14" destOrd="0" presId="urn:microsoft.com/office/officeart/2011/layout/CircleProcess"/>
    <dgm:cxn modelId="{9632BE23-A9A8-4618-B8BC-A081BEF570D4}" type="presParOf" srcId="{C4638884-9EB3-4372-B8E7-B03407C929F7}" destId="{1DBBF4A3-55ED-481E-8EBC-7FBEE15914C0}" srcOrd="15" destOrd="0" presId="urn:microsoft.com/office/officeart/2011/layout/CircleProcess"/>
    <dgm:cxn modelId="{580D2F4B-2366-4534-BC1F-0D8D94988E67}" type="presParOf" srcId="{1DBBF4A3-55ED-481E-8EBC-7FBEE15914C0}" destId="{22025411-37B0-40EB-9288-FB181E9F55C0}" srcOrd="0" destOrd="0" presId="urn:microsoft.com/office/officeart/2011/layout/CircleProcess"/>
    <dgm:cxn modelId="{77D84CB6-FB1B-41A6-9B4A-E19705420B00}" type="presParOf" srcId="{C4638884-9EB3-4372-B8E7-B03407C929F7}" destId="{B4339C0C-6E07-49EE-9BF7-112C982130F0}" srcOrd="16" destOrd="0" presId="urn:microsoft.com/office/officeart/2011/layout/CircleProcess"/>
    <dgm:cxn modelId="{936152E1-203C-445E-B8CF-3490A100221A}" type="presParOf" srcId="{B4339C0C-6E07-49EE-9BF7-112C982130F0}" destId="{2CDC4325-0932-4084-A838-31D6C526D33A}" srcOrd="0" destOrd="0" presId="urn:microsoft.com/office/officeart/2011/layout/CircleProcess"/>
    <dgm:cxn modelId="{BA4221FC-550E-447B-A7D4-9789DB0AA262}" type="presParOf" srcId="{C4638884-9EB3-4372-B8E7-B03407C929F7}" destId="{0F3F7590-6BE5-4510-AD79-3C56458CD6CA}" srcOrd="17" destOrd="0" presId="urn:microsoft.com/office/officeart/2011/layout/CircleProcess"/>
    <dgm:cxn modelId="{C5264ACC-570E-447D-AFDD-8AB79325D3FA}" type="presParOf" srcId="{C4638884-9EB3-4372-B8E7-B03407C929F7}" destId="{1DEE6A44-BB9C-4F2F-B0E4-8BCDBF27A90B}" srcOrd="18" destOrd="0" presId="urn:microsoft.com/office/officeart/2011/layout/CircleProcess"/>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CC7A4BE-5857-4592-B549-3A99FB42A988}">
      <dsp:nvSpPr>
        <dsp:cNvPr id="0" name=""/>
        <dsp:cNvSpPr/>
      </dsp:nvSpPr>
      <dsp:spPr>
        <a:xfrm>
          <a:off x="4620610" y="577817"/>
          <a:ext cx="1050453" cy="1050625"/>
        </a:xfrm>
        <a:prstGeom prst="ellipse">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239D8B7-2B15-4FD3-83C0-D42B9D01B98C}">
      <dsp:nvSpPr>
        <dsp:cNvPr id="0" name=""/>
        <dsp:cNvSpPr/>
      </dsp:nvSpPr>
      <dsp:spPr>
        <a:xfrm>
          <a:off x="4655271" y="612844"/>
          <a:ext cx="980572" cy="980571"/>
        </a:xfrm>
        <a:prstGeom prst="ellipse">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t>Report Relevant Information</a:t>
          </a:r>
          <a:endParaRPr lang="en-KE" sz="1000" kern="1200"/>
        </a:p>
      </dsp:txBody>
      <dsp:txXfrm>
        <a:off x="4795592" y="752952"/>
        <a:ext cx="700488" cy="700355"/>
      </dsp:txXfrm>
    </dsp:sp>
    <dsp:sp modelId="{D5FD8865-5967-4599-BFA9-BAA227EA0DCF}">
      <dsp:nvSpPr>
        <dsp:cNvPr id="0" name=""/>
        <dsp:cNvSpPr/>
      </dsp:nvSpPr>
      <dsp:spPr>
        <a:xfrm>
          <a:off x="4655271" y="1647800"/>
          <a:ext cx="980572" cy="57591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57150" lvl="1" indent="-57150" algn="l" defTabSz="355600">
            <a:lnSpc>
              <a:spcPct val="90000"/>
            </a:lnSpc>
            <a:spcBef>
              <a:spcPct val="0"/>
            </a:spcBef>
            <a:spcAft>
              <a:spcPct val="15000"/>
            </a:spcAft>
            <a:buChar char="•"/>
          </a:pPr>
          <a:endParaRPr lang="en-KE" sz="800" kern="1200"/>
        </a:p>
      </dsp:txBody>
      <dsp:txXfrm>
        <a:off x="4655271" y="1647800"/>
        <a:ext cx="980572" cy="575917"/>
      </dsp:txXfrm>
    </dsp:sp>
    <dsp:sp modelId="{601E7547-F3DD-4CC7-B255-B3C26E3C9B46}">
      <dsp:nvSpPr>
        <dsp:cNvPr id="0" name=""/>
        <dsp:cNvSpPr/>
      </dsp:nvSpPr>
      <dsp:spPr>
        <a:xfrm rot="2700000">
          <a:off x="3534438" y="577872"/>
          <a:ext cx="1050331" cy="1050331"/>
        </a:xfrm>
        <a:prstGeom prst="teardrop">
          <a:avLst>
            <a:gd name="adj" fmla="val 100000"/>
          </a:avLst>
        </a:prstGeom>
        <a:solidFill>
          <a:schemeClr val="accent5">
            <a:hueOff val="-3038037"/>
            <a:satOff val="-207"/>
            <a:lumOff val="49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71C5E8F-0CEA-4181-BE12-6F211B1A99FB}">
      <dsp:nvSpPr>
        <dsp:cNvPr id="0" name=""/>
        <dsp:cNvSpPr/>
      </dsp:nvSpPr>
      <dsp:spPr>
        <a:xfrm>
          <a:off x="3553506" y="612844"/>
          <a:ext cx="980572" cy="980571"/>
        </a:xfrm>
        <a:prstGeom prst="ellipse">
          <a:avLst/>
        </a:prstGeom>
        <a:solidFill>
          <a:schemeClr val="lt1">
            <a:alpha val="90000"/>
            <a:hueOff val="0"/>
            <a:satOff val="0"/>
            <a:lumOff val="0"/>
            <a:alphaOff val="0"/>
          </a:schemeClr>
        </a:solidFill>
        <a:ln w="12700" cap="flat" cmpd="sng" algn="ctr">
          <a:solidFill>
            <a:schemeClr val="accent5">
              <a:hueOff val="-3038037"/>
              <a:satOff val="-207"/>
              <a:lumOff val="49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t>Due Diligence Rules</a:t>
          </a:r>
          <a:endParaRPr lang="en-KE" sz="1000" kern="1200"/>
        </a:p>
      </dsp:txBody>
      <dsp:txXfrm>
        <a:off x="3693269" y="752952"/>
        <a:ext cx="700488" cy="700355"/>
      </dsp:txXfrm>
    </dsp:sp>
    <dsp:sp modelId="{ACFE7FD3-F64E-495A-8136-C8387F489893}">
      <dsp:nvSpPr>
        <dsp:cNvPr id="0" name=""/>
        <dsp:cNvSpPr/>
      </dsp:nvSpPr>
      <dsp:spPr>
        <a:xfrm rot="2700000">
          <a:off x="2449324" y="577872"/>
          <a:ext cx="1050331" cy="1050331"/>
        </a:xfrm>
        <a:prstGeom prst="teardrop">
          <a:avLst>
            <a:gd name="adj" fmla="val 100000"/>
          </a:avLst>
        </a:prstGeom>
        <a:solidFill>
          <a:schemeClr val="accent5">
            <a:hueOff val="-6076075"/>
            <a:satOff val="-413"/>
            <a:lumOff val="98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9520A22-057C-411A-849C-55F0A719C577}">
      <dsp:nvSpPr>
        <dsp:cNvPr id="0" name=""/>
        <dsp:cNvSpPr/>
      </dsp:nvSpPr>
      <dsp:spPr>
        <a:xfrm>
          <a:off x="2484483" y="612844"/>
          <a:ext cx="980572" cy="980571"/>
        </a:xfrm>
        <a:prstGeom prst="ellipse">
          <a:avLst/>
        </a:prstGeom>
        <a:solidFill>
          <a:schemeClr val="lt1">
            <a:alpha val="90000"/>
            <a:hueOff val="0"/>
            <a:satOff val="0"/>
            <a:lumOff val="0"/>
            <a:alphaOff val="0"/>
          </a:schemeClr>
        </a:solidFill>
        <a:ln w="12700" cap="flat" cmpd="sng" algn="ctr">
          <a:solidFill>
            <a:schemeClr val="accent5">
              <a:hueOff val="-6076075"/>
              <a:satOff val="-413"/>
              <a:lumOff val="981"/>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t>Reportable Accounts</a:t>
          </a:r>
          <a:endParaRPr lang="en-KE" sz="1000" kern="1200"/>
        </a:p>
      </dsp:txBody>
      <dsp:txXfrm>
        <a:off x="2624245" y="752952"/>
        <a:ext cx="700488" cy="700355"/>
      </dsp:txXfrm>
    </dsp:sp>
    <dsp:sp modelId="{3EA43A6D-1B45-46A8-8ABD-608621CCE531}">
      <dsp:nvSpPr>
        <dsp:cNvPr id="0" name=""/>
        <dsp:cNvSpPr/>
      </dsp:nvSpPr>
      <dsp:spPr>
        <a:xfrm>
          <a:off x="2484483" y="1647800"/>
          <a:ext cx="980572" cy="57591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57150" lvl="1" indent="-57150" algn="l" defTabSz="355600">
            <a:lnSpc>
              <a:spcPct val="90000"/>
            </a:lnSpc>
            <a:spcBef>
              <a:spcPct val="0"/>
            </a:spcBef>
            <a:spcAft>
              <a:spcPct val="15000"/>
            </a:spcAft>
            <a:buChar char="•"/>
          </a:pPr>
          <a:endParaRPr lang="en-KE" sz="800" kern="1200"/>
        </a:p>
      </dsp:txBody>
      <dsp:txXfrm>
        <a:off x="2484483" y="1647800"/>
        <a:ext cx="980572" cy="575917"/>
      </dsp:txXfrm>
    </dsp:sp>
    <dsp:sp modelId="{939B7597-A9B6-4326-8382-70321A8AAAE6}">
      <dsp:nvSpPr>
        <dsp:cNvPr id="0" name=""/>
        <dsp:cNvSpPr/>
      </dsp:nvSpPr>
      <dsp:spPr>
        <a:xfrm rot="2700000">
          <a:off x="1363650" y="577872"/>
          <a:ext cx="1050331" cy="1050331"/>
        </a:xfrm>
        <a:prstGeom prst="teardrop">
          <a:avLst>
            <a:gd name="adj" fmla="val 100000"/>
          </a:avLst>
        </a:prstGeom>
        <a:solidFill>
          <a:schemeClr val="accent5">
            <a:hueOff val="-9114112"/>
            <a:satOff val="-620"/>
            <a:lumOff val="147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A605238-13B5-49CB-B884-1DE281BB66EA}">
      <dsp:nvSpPr>
        <dsp:cNvPr id="0" name=""/>
        <dsp:cNvSpPr/>
      </dsp:nvSpPr>
      <dsp:spPr>
        <a:xfrm>
          <a:off x="1398810" y="612844"/>
          <a:ext cx="980572" cy="980571"/>
        </a:xfrm>
        <a:prstGeom prst="ellipse">
          <a:avLst/>
        </a:prstGeom>
        <a:solidFill>
          <a:schemeClr val="lt1">
            <a:alpha val="90000"/>
            <a:hueOff val="0"/>
            <a:satOff val="0"/>
            <a:lumOff val="0"/>
            <a:alphaOff val="0"/>
          </a:schemeClr>
        </a:solidFill>
        <a:ln w="12700" cap="flat" cmpd="sng" algn="ctr">
          <a:solidFill>
            <a:schemeClr val="accent5">
              <a:hueOff val="-9114112"/>
              <a:satOff val="-620"/>
              <a:lumOff val="1471"/>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KE" sz="1000" kern="1200"/>
            <a:t>Financial Accounts</a:t>
          </a:r>
        </a:p>
      </dsp:txBody>
      <dsp:txXfrm>
        <a:off x="1539131" y="752952"/>
        <a:ext cx="700488" cy="700355"/>
      </dsp:txXfrm>
    </dsp:sp>
    <dsp:sp modelId="{C58826FD-CE57-4F7D-8F72-28DB737A9306}">
      <dsp:nvSpPr>
        <dsp:cNvPr id="0" name=""/>
        <dsp:cNvSpPr/>
      </dsp:nvSpPr>
      <dsp:spPr>
        <a:xfrm>
          <a:off x="1398810" y="1647800"/>
          <a:ext cx="980572" cy="57591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57150" lvl="1" indent="-57150" algn="l" defTabSz="355600">
            <a:lnSpc>
              <a:spcPct val="90000"/>
            </a:lnSpc>
            <a:spcBef>
              <a:spcPct val="0"/>
            </a:spcBef>
            <a:spcAft>
              <a:spcPct val="15000"/>
            </a:spcAft>
            <a:buChar char="•"/>
          </a:pPr>
          <a:endParaRPr lang="en-KE" sz="800" kern="1200"/>
        </a:p>
      </dsp:txBody>
      <dsp:txXfrm>
        <a:off x="1398810" y="1647800"/>
        <a:ext cx="980572" cy="575917"/>
      </dsp:txXfrm>
    </dsp:sp>
    <dsp:sp modelId="{22025411-37B0-40EB-9288-FB181E9F55C0}">
      <dsp:nvSpPr>
        <dsp:cNvPr id="0" name=""/>
        <dsp:cNvSpPr/>
      </dsp:nvSpPr>
      <dsp:spPr>
        <a:xfrm rot="2700000">
          <a:off x="277977" y="577872"/>
          <a:ext cx="1050331" cy="1050331"/>
        </a:xfrm>
        <a:prstGeom prst="teardrop">
          <a:avLst>
            <a:gd name="adj" fmla="val 100000"/>
          </a:avLst>
        </a:prstGeom>
        <a:solidFill>
          <a:schemeClr val="accent5">
            <a:hueOff val="-12152150"/>
            <a:satOff val="-826"/>
            <a:lumOff val="196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CDC4325-0932-4084-A838-31D6C526D33A}">
      <dsp:nvSpPr>
        <dsp:cNvPr id="0" name=""/>
        <dsp:cNvSpPr/>
      </dsp:nvSpPr>
      <dsp:spPr>
        <a:xfrm>
          <a:off x="313136" y="612844"/>
          <a:ext cx="980572" cy="980571"/>
        </a:xfrm>
        <a:prstGeom prst="ellipse">
          <a:avLst/>
        </a:prstGeom>
        <a:solidFill>
          <a:schemeClr val="lt1">
            <a:alpha val="90000"/>
            <a:hueOff val="0"/>
            <a:satOff val="0"/>
            <a:lumOff val="0"/>
            <a:alphaOff val="0"/>
          </a:schemeClr>
        </a:solidFill>
        <a:ln w="12700" cap="flat" cmpd="sng" algn="ctr">
          <a:solidFill>
            <a:schemeClr val="accent5">
              <a:hueOff val="-12152150"/>
              <a:satOff val="-826"/>
              <a:lumOff val="1961"/>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ClrTx/>
            <a:buSzTx/>
            <a:buFont typeface="Arial" panose="020B0604020202020204" pitchFamily="34" charset="0"/>
            <a:buNone/>
          </a:pPr>
          <a:r>
            <a:rPr lang="en-KE" sz="1000" kern="1200"/>
            <a:t>Reporting Financial Institutions </a:t>
          </a:r>
        </a:p>
      </dsp:txBody>
      <dsp:txXfrm>
        <a:off x="453457" y="752952"/>
        <a:ext cx="700488" cy="700355"/>
      </dsp:txXfrm>
    </dsp:sp>
    <dsp:sp modelId="{0F3F7590-6BE5-4510-AD79-3C56458CD6CA}">
      <dsp:nvSpPr>
        <dsp:cNvPr id="0" name=""/>
        <dsp:cNvSpPr/>
      </dsp:nvSpPr>
      <dsp:spPr>
        <a:xfrm>
          <a:off x="313136" y="1647800"/>
          <a:ext cx="980572" cy="57591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57150" lvl="1" indent="-57150" algn="ctr" defTabSz="355600">
            <a:lnSpc>
              <a:spcPct val="90000"/>
            </a:lnSpc>
            <a:spcBef>
              <a:spcPct val="0"/>
            </a:spcBef>
            <a:spcAft>
              <a:spcPct val="15000"/>
            </a:spcAft>
            <a:buChar char="•"/>
          </a:pPr>
          <a:endParaRPr lang="en-KE" sz="800" kern="1200"/>
        </a:p>
      </dsp:txBody>
      <dsp:txXfrm>
        <a:off x="313136" y="1647800"/>
        <a:ext cx="980572" cy="575917"/>
      </dsp:txXfrm>
    </dsp:sp>
  </dsp:spTree>
</dsp:drawing>
</file>

<file path=word/diagrams/layout1.xml><?xml version="1.0" encoding="utf-8"?>
<dgm:layoutDef xmlns:dgm="http://schemas.openxmlformats.org/drawingml/2006/diagram" xmlns:a="http://schemas.openxmlformats.org/drawingml/2006/main" uniqueId="urn:microsoft.com/office/officeart/2011/layout/CircleProcess">
  <dgm:title val="Circle Process"/>
  <dgm:desc val="Use to show sequential steps in a process. Limited to eleven Level 1 shapes with an unlimited number of Level 2 shapes. Works best with small amounts of text. Unused text does not appear, but remains available if you switch layouts."/>
  <dgm:catLst>
    <dgm:cat type="process" pri="8500"/>
    <dgm:cat type="officeonline" pri="85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11"/>
      <dgm:chPref val="11"/>
      <dgm:dir/>
      <dgm:resizeHandles/>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5"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Parent2" refType="w" fact="0.6249"/>
              <dgm:constr type="t" for="ch" forName="Parent2" refType="h" fact="0.2022"/>
              <dgm:constr type="w" for="ch" forName="Parent2" refType="w" fact="0.3001"/>
              <dgm:constr type="h" for="ch" forName="Parent2" refType="h" fact="0.3799"/>
              <dgm:constr type="l" for="ch" forName="Parent1" refType="w" fact="0.1597"/>
              <dgm:constr type="t" for="ch" forName="Parent1" refType="h" fact="0.2022"/>
              <dgm:constr type="w" for="ch" forName="Parent1" refType="w" fact="0.3001"/>
              <dgm:constr type="h" for="ch" forName="Parent1" refType="h" fact="0.3799"/>
              <dgm:constr type="l" for="ch" forName="Accent2" refType="w" fact="0.5498"/>
              <dgm:constr type="t" for="ch" forName="Accent2" refType="h" fact="0.1072"/>
              <dgm:constr type="w" for="ch" forName="Accent2" refType="w" fact="0.4502"/>
              <dgm:constr type="h" for="ch" forName="Accent2" refType="h" fact="0.5699"/>
              <dgm:constr type="l" for="ch" forName="ParentBackground2" refType="w" fact="0.5648"/>
              <dgm:constr type="t" for="ch" forName="ParentBackground2" refType="h" fact="0.1262"/>
              <dgm:constr type="w" for="ch" forName="ParentBackground2" refType="w" fact="0.4201"/>
              <dgm:constr type="h" for="ch" forName="ParentBackground2" refType="h" fact="0.5319"/>
              <dgm:constr type="l" for="ch" forName="Child2" refType="w" fact="0.5648"/>
              <dgm:constr type="t" for="ch" forName="Child2" refType="h" fact="0.6876"/>
              <dgm:constr type="w" for="ch" forName="Child2" refType="w" fact="0.4201"/>
              <dgm:constr type="h" for="ch" forName="Child2" refType="h" fact="0.3124"/>
              <dgm:constr type="l" for="ch" forName="Accent1" refType="w" fact="-0.0086"/>
              <dgm:constr type="t" for="ch" forName="Accent1" refType="h" fact="-0.0109"/>
              <dgm:constr type="w" for="ch" forName="Accent1" refType="w" fact="0.6367"/>
              <dgm:constr type="h" for="ch" forName="Accent1" refType="h" fact="0.806"/>
              <dgm:constr type="l" for="ch" forName="ParentBackground1" refType="w" fact="0.0997"/>
              <dgm:constr type="t" for="ch" forName="ParentBackground1" refType="h" fact="0.1262"/>
              <dgm:constr type="w" for="ch" forName="ParentBackground1" refType="w" fact="0.4201"/>
              <dgm:constr type="h" for="ch" forName="ParentBackground1" refType="h" fact="0.5319"/>
              <dgm:constr type="l" for="ch" forName="Child1" refType="w" fact="0.0997"/>
              <dgm:constr type="t" for="ch" forName="Child1" refType="h" fact="0.6876"/>
              <dgm:constr type="w" for="ch" forName="Child1" refType="w" fact="0.4201"/>
              <dgm:constr type="h" for="ch" forName="Child1" refType="h" fact="0.3124"/>
            </dgm:constrLst>
          </dgm:if>
          <dgm:if name="Name6"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Parent3" refType="w" fact="0.744"/>
              <dgm:constr type="t" for="ch" forName="Parent3" refType="h" fact="0.2022"/>
              <dgm:constr type="w" for="ch" forName="Parent3" refType="w" fact="0.2048"/>
              <dgm:constr type="h" for="ch" forName="Parent3" refType="h" fact="0.3799"/>
              <dgm:constr type="l" for="ch" forName="Parent2" refType="w" fact="0.4265"/>
              <dgm:constr type="t" for="ch" forName="Parent2" refType="h" fact="0.2022"/>
              <dgm:constr type="w" for="ch" forName="Parent2" refType="w" fact="0.2048"/>
              <dgm:constr type="h" for="ch" forName="Parent2" refType="h" fact="0.3799"/>
              <dgm:constr type="l" for="ch" forName="Parent1" refType="w" fact="0.109"/>
              <dgm:constr type="t" for="ch" forName="Parent1" refType="h" fact="0.2022"/>
              <dgm:constr type="w" for="ch" forName="Parent1" refType="w" fact="0.2048"/>
              <dgm:constr type="h" for="ch" forName="Parent1" refType="h" fact="0.3799"/>
              <dgm:constr type="l" for="ch" forName="Accent3" refType="w" fact="0.6928"/>
              <dgm:constr type="t" for="ch" forName="Accent3" refType="h" fact="0.1072"/>
              <dgm:constr type="w" for="ch" forName="Accent3" refType="w" fact="0.3072"/>
              <dgm:constr type="h" for="ch" forName="Accent3" refType="h" fact="0.5699"/>
              <dgm:constr type="l" for="ch" forName="ParentBackground3" refType="w" fact="0.703"/>
              <dgm:constr type="t" for="ch" forName="ParentBackground3" refType="h" fact="0.1262"/>
              <dgm:constr type="w" for="ch" forName="ParentBackground3" refType="w" fact="0.2868"/>
              <dgm:constr type="h" for="ch" forName="ParentBackground3" refType="h" fact="0.5319"/>
              <dgm:constr type="l" for="ch" forName="Child3" refType="w" fact="0.703"/>
              <dgm:constr type="t" for="ch" forName="Child3" refType="h" fact="0.6876"/>
              <dgm:constr type="w" for="ch" forName="Child3" refType="w" fact="0.2868"/>
              <dgm:constr type="h" for="ch" forName="Child3" refType="h" fact="0.3124"/>
              <dgm:constr type="l" for="ch" forName="Accent2" refType="w" fact="0.3122"/>
              <dgm:constr type="t" for="ch" forName="Accent2" refType="h" fact="-0.0109"/>
              <dgm:constr type="w" for="ch" forName="Accent2" refType="w" fact="0.4334"/>
              <dgm:constr type="h" for="ch" forName="Accent2" refType="h" fact="0.806"/>
              <dgm:constr type="l" for="ch" forName="ParentBackground2" refType="w" fact="0.3855"/>
              <dgm:constr type="t" for="ch" forName="ParentBackground2" refType="h" fact="0.1262"/>
              <dgm:constr type="w" for="ch" forName="ParentBackground2" refType="w" fact="0.2868"/>
              <dgm:constr type="h" for="ch" forName="ParentBackground2" refType="h" fact="0.5319"/>
              <dgm:constr type="l" for="ch" forName="Child2" refType="w" fact="0.3855"/>
              <dgm:constr type="t" for="ch" forName="Child2" refType="h" fact="0.6876"/>
              <dgm:constr type="w" for="ch" forName="Child2" refType="w" fact="0.2868"/>
              <dgm:constr type="h" for="ch" forName="Child2" refType="h" fact="0.3124"/>
              <dgm:constr type="l" for="ch" forName="Accent1" refType="w" fact="-0.0053"/>
              <dgm:constr type="t" for="ch" forName="Accent1" refType="h" fact="-0.0109"/>
              <dgm:constr type="w" for="ch" forName="Accent1" refType="w" fact="0.4334"/>
              <dgm:constr type="h" for="ch" forName="Accent1" refType="h" fact="0.806"/>
              <dgm:constr type="l" for="ch" forName="ParentBackground1" refType="w" fact="0.068"/>
              <dgm:constr type="t" for="ch" forName="ParentBackground1" refType="h" fact="0.1262"/>
              <dgm:constr type="w" for="ch" forName="ParentBackground1" refType="w" fact="0.2868"/>
              <dgm:constr type="h" for="ch" forName="ParentBackground1" refType="h" fact="0.5319"/>
              <dgm:constr type="l" for="ch" forName="Child1" refType="w" fact="0.068"/>
              <dgm:constr type="t" for="ch" forName="Child1" refType="h" fact="0.6876"/>
              <dgm:constr type="w" for="ch" forName="Child1" refType="w" fact="0.2868"/>
              <dgm:constr type="h" for="ch" forName="Child1" refType="h" fact="0.3124"/>
            </dgm:constrLst>
          </dgm:if>
          <dgm:if name="Name7"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Parent4" refType="w" fact="0.8057"/>
              <dgm:constr type="t" for="ch" forName="Parent4" refType="h" fact="0.2022"/>
              <dgm:constr type="w" for="ch" forName="Parent4" refType="w" fact="0.1555"/>
              <dgm:constr type="h" for="ch" forName="Parent4" refType="h" fact="0.3799"/>
              <dgm:constr type="l" for="ch" forName="Parent3" refType="w" fact="0.5647"/>
              <dgm:constr type="t" for="ch" forName="Parent3" refType="h" fact="0.2022"/>
              <dgm:constr type="w" for="ch" forName="Parent3" refType="w" fact="0.1555"/>
              <dgm:constr type="h" for="ch" forName="Parent3" refType="h" fact="0.3799"/>
              <dgm:constr type="l" for="ch" forName="Parent2" refType="w" fact="0.3237"/>
              <dgm:constr type="t" for="ch" forName="Parent2" refType="h" fact="0.2022"/>
              <dgm:constr type="w" for="ch" forName="Parent2" refType="w" fact="0.1555"/>
              <dgm:constr type="h" for="ch" forName="Parent2" refType="h" fact="0.3799"/>
              <dgm:constr type="l" for="ch" forName="Parent1" refType="w" fact="0.0827"/>
              <dgm:constr type="t" for="ch" forName="Parent1" refType="h" fact="0.2022"/>
              <dgm:constr type="w" for="ch" forName="Parent1" refType="w" fact="0.1555"/>
              <dgm:constr type="h" for="ch" forName="Parent1" refType="h" fact="0.3799"/>
              <dgm:constr type="l" for="ch" forName="Accent4" refType="w" fact="0.7668"/>
              <dgm:constr type="t" for="ch" forName="Accent4" refType="h" fact="0.1072"/>
              <dgm:constr type="w" for="ch" forName="Accent4" refType="w" fact="0.2332"/>
              <dgm:constr type="h" for="ch" forName="Accent4" refType="h" fact="0.5699"/>
              <dgm:constr type="l" for="ch" forName="ParentBackground4" refType="w" fact="0.7746"/>
              <dgm:constr type="t" for="ch" forName="ParentBackground4" refType="h" fact="0.1262"/>
              <dgm:constr type="w" for="ch" forName="ParentBackground4" refType="w" fact="0.2177"/>
              <dgm:constr type="h" for="ch" forName="ParentBackground4" refType="h" fact="0.5319"/>
              <dgm:constr type="l" for="ch" forName="Child4" refType="w" fact="0.7746"/>
              <dgm:constr type="t" for="ch" forName="Child4" refType="h" fact="0.6876"/>
              <dgm:constr type="w" for="ch" forName="Child4" refType="w" fact="0.2177"/>
              <dgm:constr type="h" for="ch" forName="Child4" refType="h" fact="0.3124"/>
              <dgm:constr type="l" for="ch" forName="Accent3" refType="w" fact="0.4765"/>
              <dgm:constr type="t" for="ch" forName="Accent3" refType="h" fact="-0.0109"/>
              <dgm:constr type="w" for="ch" forName="Accent3" refType="w" fact="0.3298"/>
              <dgm:constr type="h" for="ch" forName="Accent3" refType="h" fact="0.806"/>
              <dgm:constr type="l" for="ch" forName="ParentBackground3" refType="w" fact="0.5336"/>
              <dgm:constr type="t" for="ch" forName="ParentBackground3" refType="h" fact="0.1262"/>
              <dgm:constr type="w" for="ch" forName="ParentBackground3" refType="w" fact="0.2177"/>
              <dgm:constr type="h" for="ch" forName="ParentBackground3" refType="h" fact="0.5319"/>
              <dgm:constr type="l" for="ch" forName="Child3" refType="w" fact="0.5336"/>
              <dgm:constr type="t" for="ch" forName="Child3" refType="h" fact="0.6876"/>
              <dgm:constr type="w" for="ch" forName="Child3" refType="w" fact="0.2177"/>
              <dgm:constr type="h" for="ch" forName="Child3" refType="h" fact="0.3124"/>
              <dgm:constr type="l" for="ch" forName="Accent2" refType="w" fact="0.2365"/>
              <dgm:constr type="t" for="ch" forName="Accent2" refType="h" fact="-0.0109"/>
              <dgm:constr type="w" for="ch" forName="Accent2" refType="w" fact="0.3298"/>
              <dgm:constr type="h" for="ch" forName="Accent2" refType="h" fact="0.806"/>
              <dgm:constr type="l" for="ch" forName="ParentBackground2" refType="w" fact="0.2926"/>
              <dgm:constr type="t" for="ch" forName="ParentBackground2" refType="h" fact="0.1262"/>
              <dgm:constr type="w" for="ch" forName="ParentBackground2" refType="w" fact="0.2177"/>
              <dgm:constr type="h" for="ch" forName="ParentBackground2" refType="h" fact="0.5319"/>
              <dgm:constr type="l" for="ch" forName="Child2" refType="w" fact="0.2926"/>
              <dgm:constr type="t" for="ch" forName="Child2" refType="h" fact="0.6876"/>
              <dgm:constr type="w" for="ch" forName="Child2" refType="w" fact="0.2177"/>
              <dgm:constr type="h" for="ch" forName="Child2" refType="h" fact="0.3124"/>
              <dgm:constr type="l" for="ch" forName="Accent1" refType="w" fact="-0.0045"/>
              <dgm:constr type="t" for="ch" forName="Accent1" refType="h" fact="-0.0109"/>
              <dgm:constr type="w" for="ch" forName="Accent1" refType="w" fact="0.3298"/>
              <dgm:constr type="h" for="ch" forName="Accent1" refType="h" fact="0.806"/>
              <dgm:constr type="l" for="ch" forName="ParentBackground1" refType="w" fact="0.0516"/>
              <dgm:constr type="t" for="ch" forName="ParentBackground1" refType="h" fact="0.1262"/>
              <dgm:constr type="w" for="ch" forName="ParentBackground1" refType="w" fact="0.2177"/>
              <dgm:constr type="h" for="ch" forName="ParentBackground1" refType="h" fact="0.5319"/>
              <dgm:constr type="l" for="ch" forName="Child1" refType="w" fact="0.0516"/>
              <dgm:constr type="t" for="ch" forName="Child1" refType="h" fact="0.6876"/>
              <dgm:constr type="w" for="ch" forName="Child1" refType="w" fact="0.2177"/>
              <dgm:constr type="h" for="ch" forName="Child1" refType="h" fact="0.3124"/>
            </dgm:constrLst>
          </dgm:if>
          <dgm:if name="Name8"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Parent5" refType="w" fact="0.8434"/>
              <dgm:constr type="t" for="ch" forName="Parent5" refType="h" fact="0.2022"/>
              <dgm:constr type="w" for="ch" forName="Parent5" refType="w" fact="0.1253"/>
              <dgm:constr type="h" for="ch" forName="Parent5" refType="h" fact="0.3799"/>
              <dgm:constr type="l" for="ch" forName="Parent4" refType="w" fact="0.6492"/>
              <dgm:constr type="t" for="ch" forName="Parent4" refType="h" fact="0.2022"/>
              <dgm:constr type="w" for="ch" forName="Parent4" refType="w" fact="0.1253"/>
              <dgm:constr type="h" for="ch" forName="Parent4" refType="h" fact="0.3799"/>
              <dgm:constr type="l" for="ch" forName="Parent3" refType="w" fact="0.455"/>
              <dgm:constr type="t" for="ch" forName="Parent3" refType="h" fact="0.2022"/>
              <dgm:constr type="w" for="ch" forName="Parent3" refType="w" fact="0.1253"/>
              <dgm:constr type="h" for="ch" forName="Parent3" refType="h" fact="0.3799"/>
              <dgm:constr type="l" for="ch" forName="Parent2" refType="w" fact="0.2609"/>
              <dgm:constr type="t" for="ch" forName="Parent2" refType="h" fact="0.2022"/>
              <dgm:constr type="w" for="ch" forName="Parent2" refType="w" fact="0.1253"/>
              <dgm:constr type="h" for="ch" forName="Parent2" refType="h" fact="0.3799"/>
              <dgm:constr type="l" for="ch" forName="Parent1" refType="w" fact="0.0667"/>
              <dgm:constr type="t" for="ch" forName="Parent1" refType="h" fact="0.2022"/>
              <dgm:constr type="w" for="ch" forName="Parent1" refType="w" fact="0.1253"/>
              <dgm:constr type="h" for="ch" forName="Parent1" refType="h" fact="0.3799"/>
              <dgm:constr type="l" for="ch" forName="Accent5" refType="w" fact="0.8121"/>
              <dgm:constr type="t" for="ch" forName="Accent5" refType="h" fact="0.1072"/>
              <dgm:constr type="w" for="ch" forName="Accent5" refType="w" fact="0.1879"/>
              <dgm:constr type="h" for="ch" forName="Accent5" refType="h" fact="0.5699"/>
              <dgm:constr type="l" for="ch" forName="ParentBackground5" refType="w" fact="0.8183"/>
              <dgm:constr type="t" for="ch" forName="ParentBackground5" refType="h" fact="0.1262"/>
              <dgm:constr type="w" for="ch" forName="ParentBackground5" refType="w" fact="0.1754"/>
              <dgm:constr type="h" for="ch" forName="ParentBackground5" refType="h" fact="0.5319"/>
              <dgm:constr type="l" for="ch" forName="Child5" refType="w" fact="0.8183"/>
              <dgm:constr type="t" for="ch" forName="Child5" refType="h" fact="0.6876"/>
              <dgm:constr type="w" for="ch" forName="Child5" refType="w" fact="0.1754"/>
              <dgm:constr type="h" for="ch" forName="Child5" refType="h" fact="0.3124"/>
              <dgm:constr type="l" for="ch" forName="Accent4" refType="w" fact="0.5789"/>
              <dgm:constr type="t" for="ch" forName="Accent4" refType="h" fact="-0.0109"/>
              <dgm:constr type="w" for="ch" forName="Accent4" refType="w" fact="0.2657"/>
              <dgm:constr type="h" for="ch" forName="Accent4" refType="h" fact="0.806"/>
              <dgm:constr type="l" for="ch" forName="ParentBackground4" refType="w" fact="0.6242"/>
              <dgm:constr type="t" for="ch" forName="ParentBackground4" refType="h" fact="0.1262"/>
              <dgm:constr type="w" for="ch" forName="ParentBackground4" refType="w" fact="0.1754"/>
              <dgm:constr type="h" for="ch" forName="ParentBackground4" refType="h" fact="0.5319"/>
              <dgm:constr type="l" for="ch" forName="Child4" refType="w" fact="0.6242"/>
              <dgm:constr type="t" for="ch" forName="Child4" refType="h" fact="0.6876"/>
              <dgm:constr type="w" for="ch" forName="Child4" refType="w" fact="0.1754"/>
              <dgm:constr type="h" for="ch" forName="Child4" refType="h" fact="0.3124"/>
              <dgm:constr type="l" for="ch" forName="Accent3" refType="w" fact="0.3848"/>
              <dgm:constr type="t" for="ch" forName="Accent3" refType="h" fact="-0.0109"/>
              <dgm:constr type="w" for="ch" forName="Accent3" refType="w" fact="0.2657"/>
              <dgm:constr type="h" for="ch" forName="Accent3" refType="h" fact="0.806"/>
              <dgm:constr type="l" for="ch" forName="ParentBackground3" refType="w" fact="0.43"/>
              <dgm:constr type="t" for="ch" forName="ParentBackground3" refType="h" fact="0.1262"/>
              <dgm:constr type="w" for="ch" forName="ParentBackground3" refType="w" fact="0.1754"/>
              <dgm:constr type="h" for="ch" forName="ParentBackground3" refType="h" fact="0.5319"/>
              <dgm:constr type="l" for="ch" forName="Child3" refType="w" fact="0.43"/>
              <dgm:constr type="t" for="ch" forName="Child3" refType="h" fact="0.6876"/>
              <dgm:constr type="w" for="ch" forName="Child3" refType="w" fact="0.1754"/>
              <dgm:constr type="h" for="ch" forName="Child3" refType="h" fact="0.3124"/>
              <dgm:constr type="l" for="ch" forName="Accent2" refType="w" fact="0.1906"/>
              <dgm:constr type="t" for="ch" forName="Accent2" refType="h" fact="-0.0109"/>
              <dgm:constr type="w" for="ch" forName="Accent2" refType="w" fact="0.2657"/>
              <dgm:constr type="h" for="ch" forName="Accent2" refType="h" fact="0.806"/>
              <dgm:constr type="l" for="ch" forName="ParentBackground2" refType="w" fact="0.2358"/>
              <dgm:constr type="t" for="ch" forName="ParentBackground2" refType="h" fact="0.1262"/>
              <dgm:constr type="w" for="ch" forName="ParentBackground2" refType="w" fact="0.1754"/>
              <dgm:constr type="h" for="ch" forName="ParentBackground2" refType="h" fact="0.5319"/>
              <dgm:constr type="l" for="ch" forName="Child2" refType="w" fact="0.2358"/>
              <dgm:constr type="t" for="ch" forName="Child2" refType="h" fact="0.6876"/>
              <dgm:constr type="w" for="ch" forName="Child2" refType="w" fact="0.1754"/>
              <dgm:constr type="h" for="ch" forName="Child2" refType="h" fact="0.3124"/>
              <dgm:constr type="l" for="ch" forName="Accent1" refType="w" fact="-0.0036"/>
              <dgm:constr type="t" for="ch" forName="Accent1" refType="h" fact="-0.0109"/>
              <dgm:constr type="w" for="ch" forName="Accent1" refType="w" fact="0.2657"/>
              <dgm:constr type="h" for="ch" forName="Accent1" refType="h" fact="0.806"/>
              <dgm:constr type="l" for="ch" forName="ParentBackground1" refType="w" fact="0.0416"/>
              <dgm:constr type="t" for="ch" forName="ParentBackground1" refType="h" fact="0.1262"/>
              <dgm:constr type="w" for="ch" forName="ParentBackground1" refType="w" fact="0.1754"/>
              <dgm:constr type="h" for="ch" forName="ParentBackground1" refType="h" fact="0.5319"/>
              <dgm:constr type="l" for="ch" forName="Child1" refType="w" fact="0.0416"/>
              <dgm:constr type="t" for="ch" forName="Child1" refType="h" fact="0.6876"/>
              <dgm:constr type="w" for="ch" forName="Child1" refType="w" fact="0.1754"/>
              <dgm:constr type="h" for="ch" forName="Child1" refType="h" fact="0.3124"/>
            </dgm:constrLst>
          </dgm:if>
          <dgm:if name="Name9"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Parent6" refType="w" fact="0.8689"/>
              <dgm:constr type="t" for="ch" forName="Parent6" refType="h" fact="0.2022"/>
              <dgm:constr type="w" for="ch" forName="Parent6" refType="w" fact="0.1049"/>
              <dgm:constr type="h" for="ch" forName="Parent6" refType="h" fact="0.3799"/>
              <dgm:constr type="l" for="ch" forName="Parent5" refType="w" fact="0.7063"/>
              <dgm:constr type="t" for="ch" forName="Parent5" refType="h" fact="0.2022"/>
              <dgm:constr type="w" for="ch" forName="Parent5" refType="w" fact="0.1049"/>
              <dgm:constr type="h" for="ch" forName="Parent5" refType="h" fact="0.3799"/>
              <dgm:constr type="l" for="ch" forName="Parent4" refType="w" fact="0.5437"/>
              <dgm:constr type="t" for="ch" forName="Parent4" refType="h" fact="0.2022"/>
              <dgm:constr type="w" for="ch" forName="Parent4" refType="w" fact="0.1049"/>
              <dgm:constr type="h" for="ch" forName="Parent4" refType="h" fact="0.3799"/>
              <dgm:constr type="l" for="ch" forName="Parent3" refType="w" fact="0.381"/>
              <dgm:constr type="t" for="ch" forName="Parent3" refType="h" fact="0.2022"/>
              <dgm:constr type="w" for="ch" forName="Parent3" refType="w" fact="0.1049"/>
              <dgm:constr type="h" for="ch" forName="Parent3" refType="h" fact="0.3799"/>
              <dgm:constr type="l" for="ch" forName="Parent2" refType="w" fact="0.2184"/>
              <dgm:constr type="t" for="ch" forName="Parent2" refType="h" fact="0.2022"/>
              <dgm:constr type="w" for="ch" forName="Parent2" refType="w" fact="0.1049"/>
              <dgm:constr type="h" for="ch" forName="Parent2" refType="h" fact="0.3799"/>
              <dgm:constr type="l" for="ch" forName="Parent1" refType="w" fact="0.0558"/>
              <dgm:constr type="t" for="ch" forName="Parent1" refType="h" fact="0.2022"/>
              <dgm:constr type="w" for="ch" forName="Parent1" refType="w" fact="0.1049"/>
              <dgm:constr type="h" for="ch" forName="Parent1" refType="h" fact="0.3799"/>
              <dgm:constr type="l" for="ch" forName="Accent6" refType="w" fact="0.8426"/>
              <dgm:constr type="t" for="ch" forName="Accent6" refType="h" fact="0.1072"/>
              <dgm:constr type="w" for="ch" forName="Accent6" refType="w" fact="0.1574"/>
              <dgm:constr type="h" for="ch" forName="Accent6" refType="h" fact="0.5699"/>
              <dgm:constr type="l" for="ch" forName="ParentBackground6" refType="w" fact="0.8479"/>
              <dgm:constr type="t" for="ch" forName="ParentBackground6" refType="h" fact="0.1262"/>
              <dgm:constr type="w" for="ch" forName="ParentBackground6" refType="w" fact="0.1469"/>
              <dgm:constr type="h" for="ch" forName="ParentBackground6" refType="h" fact="0.5319"/>
              <dgm:constr type="l" for="ch" forName="Child6" refType="w" fact="0.8479"/>
              <dgm:constr type="t" for="ch" forName="Child6" refType="h" fact="0.6876"/>
              <dgm:constr type="w" for="ch" forName="Child6" refType="w" fact="0.1469"/>
              <dgm:constr type="h" for="ch" forName="Child6" refType="h" fact="0.3124"/>
              <dgm:constr type="l" for="ch" forName="Accent5" refType="w" fact="0.6474"/>
              <dgm:constr type="t" for="ch" forName="Accent5" refType="h" fact="-0.0109"/>
              <dgm:constr type="w" for="ch" forName="Accent5" refType="w" fact="0.2226"/>
              <dgm:constr type="h" for="ch" forName="Accent5" refType="h" fact="0.806"/>
              <dgm:constr type="l" for="ch" forName="ParentBackground5" refType="w" fact="0.6853"/>
              <dgm:constr type="t" for="ch" forName="ParentBackground5" refType="h" fact="0.1262"/>
              <dgm:constr type="w" for="ch" forName="ParentBackground5" refType="w" fact="0.1469"/>
              <dgm:constr type="h" for="ch" forName="ParentBackground5" refType="h" fact="0.5319"/>
              <dgm:constr type="l" for="ch" forName="Child5" refType="w" fact="0.6853"/>
              <dgm:constr type="t" for="ch" forName="Child5" refType="h" fact="0.6876"/>
              <dgm:constr type="w" for="ch" forName="Child5" refType="w" fact="0.1469"/>
              <dgm:constr type="h" for="ch" forName="Child5" refType="h" fact="0.3124"/>
              <dgm:constr type="l" for="ch" forName="Accent4" refType="w" fact="0.4848"/>
              <dgm:constr type="t" for="ch" forName="Accent4" refType="h" fact="-0.0109"/>
              <dgm:constr type="w" for="ch" forName="Accent4" refType="w" fact="0.2226"/>
              <dgm:constr type="h" for="ch" forName="Accent4" refType="h" fact="0.806"/>
              <dgm:constr type="l" for="ch" forName="ParentBackground4" refType="w" fact="0.5227"/>
              <dgm:constr type="t" for="ch" forName="ParentBackground4" refType="h" fact="0.1262"/>
              <dgm:constr type="w" for="ch" forName="ParentBackground4" refType="w" fact="0.1469"/>
              <dgm:constr type="h" for="ch" forName="ParentBackground4" refType="h" fact="0.5319"/>
              <dgm:constr type="l" for="ch" forName="Child4" refType="w" fact="0.5227"/>
              <dgm:constr type="t" for="ch" forName="Child4" refType="h" fact="0.6876"/>
              <dgm:constr type="w" for="ch" forName="Child4" refType="w" fact="0.1469"/>
              <dgm:constr type="h" for="ch" forName="Child4" refType="h" fact="0.3124"/>
              <dgm:constr type="l" for="ch" forName="Accent3" refType="w" fact="0.3222"/>
              <dgm:constr type="t" for="ch" forName="Accent3" refType="h" fact="-0.0109"/>
              <dgm:constr type="w" for="ch" forName="Accent3" refType="w" fact="0.2226"/>
              <dgm:constr type="h" for="ch" forName="Accent3" refType="h" fact="0.806"/>
              <dgm:constr type="l" for="ch" forName="ParentBackground3" refType="w" fact="0.3601"/>
              <dgm:constr type="t" for="ch" forName="ParentBackground3" refType="h" fact="0.1262"/>
              <dgm:constr type="w" for="ch" forName="ParentBackground3" refType="w" fact="0.1469"/>
              <dgm:constr type="h" for="ch" forName="ParentBackground3" refType="h" fact="0.5319"/>
              <dgm:constr type="l" for="ch" forName="Child3" refType="w" fact="0.3601"/>
              <dgm:constr type="t" for="ch" forName="Child3" refType="h" fact="0.6876"/>
              <dgm:constr type="w" for="ch" forName="Child3" refType="w" fact="0.1469"/>
              <dgm:constr type="h" for="ch" forName="Child3" refType="h" fact="0.3124"/>
              <dgm:constr type="l" for="ch" forName="Accent2" refType="w" fact="0.1596"/>
              <dgm:constr type="t" for="ch" forName="Accent2" refType="h" fact="-0.0109"/>
              <dgm:constr type="w" for="ch" forName="Accent2" refType="w" fact="0.2226"/>
              <dgm:constr type="h" for="ch" forName="Accent2" refType="h" fact="0.806"/>
              <dgm:constr type="l" for="ch" forName="ParentBackground2" refType="w" fact="0.1975"/>
              <dgm:constr type="t" for="ch" forName="ParentBackground2" refType="h" fact="0.1262"/>
              <dgm:constr type="w" for="ch" forName="ParentBackground2" refType="w" fact="0.1469"/>
              <dgm:constr type="h" for="ch" forName="ParentBackground2" refType="h" fact="0.5319"/>
              <dgm:constr type="l" for="ch" forName="Child2" refType="w" fact="0.1975"/>
              <dgm:constr type="t" for="ch" forName="Child2" refType="h" fact="0.6876"/>
              <dgm:constr type="w" for="ch" forName="Child2" refType="w" fact="0.1469"/>
              <dgm:constr type="h" for="ch" forName="Child2" refType="h" fact="0.3124"/>
              <dgm:constr type="l" for="ch" forName="Accent1" refType="w" fact="-0.003"/>
              <dgm:constr type="t" for="ch" forName="Accent1" refType="h" fact="-0.0109"/>
              <dgm:constr type="w" for="ch" forName="Accent1" refType="w" fact="0.2226"/>
              <dgm:constr type="h" for="ch" forName="Accent1" refType="h" fact="0.806"/>
              <dgm:constr type="l" for="ch" forName="ParentBackground1" refType="w" fact="0.0348"/>
              <dgm:constr type="t" for="ch" forName="ParentBackground1" refType="h" fact="0.1262"/>
              <dgm:constr type="w" for="ch" forName="ParentBackground1" refType="w" fact="0.1469"/>
              <dgm:constr type="h" for="ch" forName="ParentBackground1" refType="h" fact="0.5319"/>
              <dgm:constr type="l" for="ch" forName="Child1" refType="w" fact="0.0348"/>
              <dgm:constr type="t" for="ch" forName="Child1" refType="h" fact="0.6876"/>
              <dgm:constr type="w" for="ch" forName="Child1" refType="w" fact="0.1469"/>
              <dgm:constr type="h" for="ch" forName="Child1" refType="h" fact="0.3124"/>
            </dgm:constrLst>
          </dgm:if>
          <dgm:if name="Name10"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Parent7" refType="w" fact="0.8872"/>
              <dgm:constr type="t" for="ch" forName="Parent7" refType="h" fact="0.2022"/>
              <dgm:constr type="w" for="ch" forName="Parent7" refType="w" fact="0.0902"/>
              <dgm:constr type="h" for="ch" forName="Parent7" refType="h" fact="0.3799"/>
              <dgm:constr type="l" for="ch" forName="Parent6" refType="w" fact="0.7473"/>
              <dgm:constr type="t" for="ch" forName="Parent6" refType="h" fact="0.2022"/>
              <dgm:constr type="w" for="ch" forName="Parent6" refType="w" fact="0.0902"/>
              <dgm:constr type="h" for="ch" forName="Parent6" refType="h" fact="0.3799"/>
              <dgm:constr type="l" for="ch" forName="Parent5" refType="w" fact="0.6075"/>
              <dgm:constr type="t" for="ch" forName="Parent5" refType="h" fact="0.2022"/>
              <dgm:constr type="w" for="ch" forName="Parent5" refType="w" fact="0.0902"/>
              <dgm:constr type="h" for="ch" forName="Parent5" refType="h" fact="0.3799"/>
              <dgm:constr type="l" for="ch" forName="Parent4" refType="w" fact="0.4676"/>
              <dgm:constr type="t" for="ch" forName="Parent4" refType="h" fact="0.2022"/>
              <dgm:constr type="w" for="ch" forName="Parent4" refType="w" fact="0.0902"/>
              <dgm:constr type="h" for="ch" forName="Parent4" refType="h" fact="0.3799"/>
              <dgm:constr type="l" for="ch" forName="Parent3" refType="w" fact="0.3277"/>
              <dgm:constr type="t" for="ch" forName="Parent3" refType="h" fact="0.2022"/>
              <dgm:constr type="w" for="ch" forName="Parent3" refType="w" fact="0.0902"/>
              <dgm:constr type="h" for="ch" forName="Parent3" refType="h" fact="0.3799"/>
              <dgm:constr type="l" for="ch" forName="Parent2" refType="w" fact="0.1879"/>
              <dgm:constr type="t" for="ch" forName="Parent2" refType="h" fact="0.2022"/>
              <dgm:constr type="w" for="ch" forName="Parent2" refType="w" fact="0.0902"/>
              <dgm:constr type="h" for="ch" forName="Parent2" refType="h" fact="0.3799"/>
              <dgm:constr type="l" for="ch" forName="Parent1" refType="w" fact="0.048"/>
              <dgm:constr type="t" for="ch" forName="Parent1" refType="h" fact="0.2022"/>
              <dgm:constr type="w" for="ch" forName="Parent1" refType="w" fact="0.0902"/>
              <dgm:constr type="h" for="ch" forName="Parent1" refType="h" fact="0.3799"/>
              <dgm:constr type="l" for="ch" forName="Accent7" refType="w" fact="0.8646"/>
              <dgm:constr type="t" for="ch" forName="Accent7" refType="h" fact="0.1072"/>
              <dgm:constr type="w" for="ch" forName="Accent7" refType="w" fact="0.1354"/>
              <dgm:constr type="h" for="ch" forName="Accent7" refType="h" fact="0.5699"/>
              <dgm:constr type="l" for="ch" forName="ParentBackground7" refType="w" fact="0.8692"/>
              <dgm:constr type="t" for="ch" forName="ParentBackground7" refType="h" fact="0.1262"/>
              <dgm:constr type="w" for="ch" forName="ParentBackground7" refType="w" fact="0.1263"/>
              <dgm:constr type="h" for="ch" forName="ParentBackground7" refType="h" fact="0.5319"/>
              <dgm:constr type="l" for="ch" forName="Child7" refType="w" fact="0.8692"/>
              <dgm:constr type="t" for="ch" forName="Child7" refType="h" fact="0.6876"/>
              <dgm:constr type="w" for="ch" forName="Child7" refType="w" fact="0.1263"/>
              <dgm:constr type="h" for="ch" forName="Child7" refType="h" fact="0.3124"/>
              <dgm:constr type="l" for="ch" forName="Accent6" refType="w" fact="0.6967"/>
              <dgm:constr type="t" for="ch" forName="Accent6" refType="h" fact="-0.0109"/>
              <dgm:constr type="w" for="ch" forName="Accent6" refType="w" fact="0.1915"/>
              <dgm:constr type="h" for="ch" forName="Accent6" refType="h" fact="0.806"/>
              <dgm:constr type="l" for="ch" forName="ParentBackground6" refType="w" fact="0.7293"/>
              <dgm:constr type="t" for="ch" forName="ParentBackground6" refType="h" fact="0.1262"/>
              <dgm:constr type="w" for="ch" forName="ParentBackground6" refType="w" fact="0.1263"/>
              <dgm:constr type="h" for="ch" forName="ParentBackground6" refType="h" fact="0.5319"/>
              <dgm:constr type="l" for="ch" forName="Child6" refType="w" fact="0.7293"/>
              <dgm:constr type="t" for="ch" forName="Child6" refType="h" fact="0.6876"/>
              <dgm:constr type="w" for="ch" forName="Child6" refType="w" fact="0.1263"/>
              <dgm:constr type="h" for="ch" forName="Child6" refType="h" fact="0.3124"/>
              <dgm:constr type="l" for="ch" forName="Accent5" refType="w" fact="0.5569"/>
              <dgm:constr type="t" for="ch" forName="Accent5" refType="h" fact="-0.0109"/>
              <dgm:constr type="w" for="ch" forName="Accent5" refType="w" fact="0.1915"/>
              <dgm:constr type="h" for="ch" forName="Accent5" refType="h" fact="0.806"/>
              <dgm:constr type="l" for="ch" forName="ParentBackground5" refType="w" fact="0.5894"/>
              <dgm:constr type="t" for="ch" forName="ParentBackground5" refType="h" fact="0.1262"/>
              <dgm:constr type="w" for="ch" forName="ParentBackground5" refType="w" fact="0.1263"/>
              <dgm:constr type="h" for="ch" forName="ParentBackground5" refType="h" fact="0.5319"/>
              <dgm:constr type="l" for="ch" forName="Child5" refType="w" fact="0.5894"/>
              <dgm:constr type="t" for="ch" forName="Child5" refType="h" fact="0.6876"/>
              <dgm:constr type="w" for="ch" forName="Child5" refType="w" fact="0.1263"/>
              <dgm:constr type="h" for="ch" forName="Child5" refType="h" fact="0.3124"/>
              <dgm:constr type="l" for="ch" forName="Accent4" refType="w" fact="0.417"/>
              <dgm:constr type="t" for="ch" forName="Accent4" refType="h" fact="-0.0109"/>
              <dgm:constr type="w" for="ch" forName="Accent4" refType="w" fact="0.1915"/>
              <dgm:constr type="h" for="ch" forName="Accent4" refType="h" fact="0.806"/>
              <dgm:constr type="l" for="ch" forName="ParentBackground4" refType="w" fact="0.4496"/>
              <dgm:constr type="t" for="ch" forName="ParentBackground4" refType="h" fact="0.1262"/>
              <dgm:constr type="w" for="ch" forName="ParentBackground4" refType="w" fact="0.1263"/>
              <dgm:constr type="h" for="ch" forName="ParentBackground4" refType="h" fact="0.5319"/>
              <dgm:constr type="l" for="ch" forName="Child4" refType="w" fact="0.4496"/>
              <dgm:constr type="t" for="ch" forName="Child4" refType="h" fact="0.6876"/>
              <dgm:constr type="w" for="ch" forName="Child4" refType="w" fact="0.1263"/>
              <dgm:constr type="h" for="ch" forName="Child4" refType="h" fact="0.3124"/>
              <dgm:constr type="l" for="ch" forName="Accent3" refType="w" fact="0.2771"/>
              <dgm:constr type="t" for="ch" forName="Accent3" refType="h" fact="-0.0109"/>
              <dgm:constr type="w" for="ch" forName="Accent3" refType="w" fact="0.1915"/>
              <dgm:constr type="h" for="ch" forName="Accent3" refType="h" fact="0.806"/>
              <dgm:constr type="l" for="ch" forName="ParentBackground3" refType="w" fact="0.3097"/>
              <dgm:constr type="t" for="ch" forName="ParentBackground3" refType="h" fact="0.1262"/>
              <dgm:constr type="w" for="ch" forName="ParentBackground3" refType="w" fact="0.1263"/>
              <dgm:constr type="h" for="ch" forName="ParentBackground3" refType="h" fact="0.5319"/>
              <dgm:constr type="l" for="ch" forName="Child3" refType="w" fact="0.3097"/>
              <dgm:constr type="t" for="ch" forName="Child3" refType="h" fact="0.6876"/>
              <dgm:constr type="w" for="ch" forName="Child3" refType="w" fact="0.1263"/>
              <dgm:constr type="h" for="ch" forName="Child3" refType="h" fact="0.3124"/>
              <dgm:constr type="l" for="ch" forName="Accent2" refType="w" fact="0.1373"/>
              <dgm:constr type="t" for="ch" forName="Accent2" refType="h" fact="-0.0109"/>
              <dgm:constr type="w" for="ch" forName="Accent2" refType="w" fact="0.1915"/>
              <dgm:constr type="h" for="ch" forName="Accent2" refType="h" fact="0.806"/>
              <dgm:constr type="l" for="ch" forName="ParentBackground2" refType="w" fact="0.1698"/>
              <dgm:constr type="t" for="ch" forName="ParentBackground2" refType="h" fact="0.1262"/>
              <dgm:constr type="w" for="ch" forName="ParentBackground2" refType="w" fact="0.1263"/>
              <dgm:constr type="h" for="ch" forName="ParentBackground2" refType="h" fact="0.5319"/>
              <dgm:constr type="l" for="ch" forName="Child2" refType="w" fact="0.1698"/>
              <dgm:constr type="t" for="ch" forName="Child2" refType="h" fact="0.6876"/>
              <dgm:constr type="w" for="ch" forName="Child2" refType="w" fact="0.1263"/>
              <dgm:constr type="h" for="ch" forName="Child2" refType="h" fact="0.3124"/>
              <dgm:constr type="l" for="ch" forName="Accent1" refType="w" fact="-0.0026"/>
              <dgm:constr type="t" for="ch" forName="Accent1" refType="h" fact="-0.0109"/>
              <dgm:constr type="w" for="ch" forName="Accent1" refType="w" fact="0.1915"/>
              <dgm:constr type="h" for="ch" forName="Accent1" refType="h" fact="0.806"/>
              <dgm:constr type="l" for="ch" forName="ParentBackground1" refType="w" fact="0.03"/>
              <dgm:constr type="t" for="ch" forName="ParentBackground1" refType="h" fact="0.1262"/>
              <dgm:constr type="w" for="ch" forName="ParentBackground1" refType="w" fact="0.1263"/>
              <dgm:constr type="h" for="ch" forName="ParentBackground1" refType="h" fact="0.5319"/>
              <dgm:constr type="l" for="ch" forName="Child1" refType="w" fact="0.03"/>
              <dgm:constr type="t" for="ch" forName="Child1" refType="h" fact="0.6876"/>
              <dgm:constr type="w" for="ch" forName="Child1" refType="w" fact="0.1263"/>
              <dgm:constr type="h" for="ch" forName="Child1" refType="h" fact="0.3124"/>
            </dgm:constrLst>
          </dgm:if>
          <dgm:if name="Name11"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l" for="ch" forName="Parent8" refType="w" fact="0.901"/>
              <dgm:constr type="t" for="ch" forName="Parent8" refType="h" fact="0.2022"/>
              <dgm:constr type="w" for="ch" forName="Parent8" refType="w" fact="0.0792"/>
              <dgm:constr type="h" for="ch" forName="Parent8" refType="h" fact="0.3799"/>
              <dgm:constr type="l" for="ch" forName="Parent7" refType="w" fact="0.7783"/>
              <dgm:constr type="t" for="ch" forName="Parent7" refType="h" fact="0.2022"/>
              <dgm:constr type="w" for="ch" forName="Parent7" refType="w" fact="0.0792"/>
              <dgm:constr type="h" for="ch" forName="Parent7" refType="h" fact="0.3799"/>
              <dgm:constr type="l" for="ch" forName="Parent6" refType="w" fact="0.6556"/>
              <dgm:constr type="t" for="ch" forName="Parent6" refType="h" fact="0.2022"/>
              <dgm:constr type="w" for="ch" forName="Parent6" refType="w" fact="0.0792"/>
              <dgm:constr type="h" for="ch" forName="Parent6" refType="h" fact="0.3799"/>
              <dgm:constr type="l" for="ch" forName="Parent5" refType="w" fact="0.5329"/>
              <dgm:constr type="t" for="ch" forName="Parent5" refType="h" fact="0.2022"/>
              <dgm:constr type="w" for="ch" forName="Parent5" refType="w" fact="0.0792"/>
              <dgm:constr type="h" for="ch" forName="Parent5" refType="h" fact="0.3799"/>
              <dgm:constr type="l" for="ch" forName="Parent4" refType="w" fact="0.4102"/>
              <dgm:constr type="t" for="ch" forName="Parent4" refType="h" fact="0.2022"/>
              <dgm:constr type="w" for="ch" forName="Parent4" refType="w" fact="0.0792"/>
              <dgm:constr type="h" for="ch" forName="Parent4" refType="h" fact="0.3799"/>
              <dgm:constr type="l" for="ch" forName="Parent3" refType="w" fact="0.2875"/>
              <dgm:constr type="t" for="ch" forName="Parent3" refType="h" fact="0.2022"/>
              <dgm:constr type="w" for="ch" forName="Parent3" refType="w" fact="0.0792"/>
              <dgm:constr type="h" for="ch" forName="Parent3" refType="h" fact="0.3799"/>
              <dgm:constr type="l" for="ch" forName="Parent2" refType="w" fact="0.1648"/>
              <dgm:constr type="t" for="ch" forName="Parent2" refType="h" fact="0.2022"/>
              <dgm:constr type="w" for="ch" forName="Parent2" refType="w" fact="0.0792"/>
              <dgm:constr type="h" for="ch" forName="Parent2" refType="h" fact="0.3799"/>
              <dgm:constr type="l" for="ch" forName="Parent1" refType="w" fact="0.0421"/>
              <dgm:constr type="t" for="ch" forName="Parent1" refType="h" fact="0.2022"/>
              <dgm:constr type="w" for="ch" forName="Parent1" refType="w" fact="0.0792"/>
              <dgm:constr type="h" for="ch" forName="Parent1" refType="h" fact="0.3799"/>
              <dgm:constr type="l" for="ch" forName="Accent8" refType="w" fact="0.8813"/>
              <dgm:constr type="t" for="ch" forName="Accent8" refType="h" fact="0.1072"/>
              <dgm:constr type="w" for="ch" forName="Accent8" refType="w" fact="0.1187"/>
              <dgm:constr type="h" for="ch" forName="Accent8" refType="h" fact="0.5699"/>
              <dgm:constr type="l" for="ch" forName="ParentBackground8" refType="w" fact="0.8852"/>
              <dgm:constr type="t" for="ch" forName="ParentBackground8" refType="h" fact="0.1262"/>
              <dgm:constr type="w" for="ch" forName="ParentBackground8" refType="w" fact="0.1108"/>
              <dgm:constr type="h" for="ch" forName="ParentBackground8" refType="h" fact="0.5319"/>
              <dgm:constr type="l" for="ch" forName="Child8" refType="w" fact="0.8852"/>
              <dgm:constr type="t" for="ch" forName="Child8" refType="h" fact="0.6876"/>
              <dgm:constr type="w" for="ch" forName="Child8" refType="w" fact="0.1108"/>
              <dgm:constr type="h" for="ch" forName="Child8" refType="h" fact="0.3124"/>
              <dgm:constr type="l" for="ch" forName="Accent7" refType="w" fact="0.7339"/>
              <dgm:constr type="t" for="ch" forName="Accent7" refType="h" fact="-0.0109"/>
              <dgm:constr type="w" for="ch" forName="Accent7" refType="w" fact="0.1679"/>
              <dgm:constr type="h" for="ch" forName="Accent7" refType="h" fact="0.806"/>
              <dgm:constr type="l" for="ch" forName="ParentBackground7" refType="w" fact="0.7625"/>
              <dgm:constr type="t" for="ch" forName="ParentBackground7" refType="h" fact="0.1262"/>
              <dgm:constr type="w" for="ch" forName="ParentBackground7" refType="w" fact="0.1108"/>
              <dgm:constr type="h" for="ch" forName="ParentBackground7" refType="h" fact="0.5319"/>
              <dgm:constr type="l" for="ch" forName="Child7" refType="w" fact="0.7625"/>
              <dgm:constr type="t" for="ch" forName="Child7" refType="h" fact="0.6876"/>
              <dgm:constr type="w" for="ch" forName="Child7" refType="w" fact="0.1108"/>
              <dgm:constr type="h" for="ch" forName="Child7" refType="h" fact="0.3124"/>
              <dgm:constr type="l" for="ch" forName="Accent6" refType="w" fact="0.6112"/>
              <dgm:constr type="t" for="ch" forName="Accent6" refType="h" fact="-0.0109"/>
              <dgm:constr type="w" for="ch" forName="Accent6" refType="w" fact="0.1679"/>
              <dgm:constr type="h" for="ch" forName="Accent6" refType="h" fact="0.806"/>
              <dgm:constr type="l" for="ch" forName="ParentBackground6" refType="w" fact="0.6398"/>
              <dgm:constr type="t" for="ch" forName="ParentBackground6" refType="h" fact="0.1262"/>
              <dgm:constr type="w" for="ch" forName="ParentBackground6" refType="w" fact="0.1108"/>
              <dgm:constr type="h" for="ch" forName="ParentBackground6" refType="h" fact="0.5319"/>
              <dgm:constr type="l" for="ch" forName="Child6" refType="w" fact="0.6398"/>
              <dgm:constr type="t" for="ch" forName="Child6" refType="h" fact="0.6876"/>
              <dgm:constr type="w" for="ch" forName="Child6" refType="w" fact="0.1108"/>
              <dgm:constr type="h" for="ch" forName="Child6" refType="h" fact="0.3124"/>
              <dgm:constr type="l" for="ch" forName="Accent5" refType="w" fact="0.4885"/>
              <dgm:constr type="t" for="ch" forName="Accent5" refType="h" fact="-0.0109"/>
              <dgm:constr type="w" for="ch" forName="Accent5" refType="w" fact="0.1679"/>
              <dgm:constr type="h" for="ch" forName="Accent5" refType="h" fact="0.806"/>
              <dgm:constr type="l" for="ch" forName="ParentBackground5" refType="w" fact="0.5171"/>
              <dgm:constr type="t" for="ch" forName="ParentBackground5" refType="h" fact="0.1262"/>
              <dgm:constr type="w" for="ch" forName="ParentBackground5" refType="w" fact="0.1108"/>
              <dgm:constr type="h" for="ch" forName="ParentBackground5" refType="h" fact="0.5319"/>
              <dgm:constr type="l" for="ch" forName="Child5" refType="w" fact="0.5171"/>
              <dgm:constr type="t" for="ch" forName="Child5" refType="h" fact="0.6876"/>
              <dgm:constr type="w" for="ch" forName="Child5" refType="w" fact="0.1108"/>
              <dgm:constr type="h" for="ch" forName="Child5" refType="h" fact="0.3124"/>
              <dgm:constr type="l" for="ch" forName="Accent4" refType="w" fact="0.3658"/>
              <dgm:constr type="t" for="ch" forName="Accent4" refType="h" fact="-0.0109"/>
              <dgm:constr type="w" for="ch" forName="Accent4" refType="w" fact="0.1679"/>
              <dgm:constr type="h" for="ch" forName="Accent4" refType="h" fact="0.806"/>
              <dgm:constr type="l" for="ch" forName="ParentBackground4" refType="w" fact="0.3944"/>
              <dgm:constr type="t" for="ch" forName="ParentBackground4" refType="h" fact="0.1262"/>
              <dgm:constr type="w" for="ch" forName="ParentBackground4" refType="w" fact="0.1108"/>
              <dgm:constr type="h" for="ch" forName="ParentBackground4" refType="h" fact="0.5319"/>
              <dgm:constr type="l" for="ch" forName="Child4" refType="w" fact="0.3944"/>
              <dgm:constr type="t" for="ch" forName="Child4" refType="h" fact="0.6876"/>
              <dgm:constr type="w" for="ch" forName="Child4" refType="w" fact="0.1108"/>
              <dgm:constr type="h" for="ch" forName="Child4" refType="h" fact="0.3124"/>
              <dgm:constr type="l" for="ch" forName="Accent3" refType="w" fact="0.2431"/>
              <dgm:constr type="t" for="ch" forName="Accent3" refType="h" fact="-0.0109"/>
              <dgm:constr type="w" for="ch" forName="Accent3" refType="w" fact="0.1679"/>
              <dgm:constr type="h" for="ch" forName="Accent3" refType="h" fact="0.806"/>
              <dgm:constr type="l" for="ch" forName="ParentBackground3" refType="w" fact="0.2717"/>
              <dgm:constr type="t" for="ch" forName="ParentBackground3" refType="h" fact="0.1262"/>
              <dgm:constr type="w" for="ch" forName="ParentBackground3" refType="w" fact="0.1108"/>
              <dgm:constr type="h" for="ch" forName="ParentBackground3" refType="h" fact="0.5319"/>
              <dgm:constr type="l" for="ch" forName="Child3" refType="w" fact="0.2717"/>
              <dgm:constr type="t" for="ch" forName="Child3" refType="h" fact="0.6876"/>
              <dgm:constr type="w" for="ch" forName="Child3" refType="w" fact="0.1108"/>
              <dgm:constr type="h" for="ch" forName="Child3" refType="h" fact="0.3124"/>
              <dgm:constr type="l" for="ch" forName="Accent2" refType="w" fact="0.1204"/>
              <dgm:constr type="t" for="ch" forName="Accent2" refType="h" fact="-0.0109"/>
              <dgm:constr type="w" for="ch" forName="Accent2" refType="w" fact="0.1679"/>
              <dgm:constr type="h" for="ch" forName="Accent2" refType="h" fact="0.806"/>
              <dgm:constr type="l" for="ch" forName="ParentBackground2" refType="w" fact="0.149"/>
              <dgm:constr type="t" for="ch" forName="ParentBackground2" refType="h" fact="0.1262"/>
              <dgm:constr type="w" for="ch" forName="ParentBackground2" refType="w" fact="0.1108"/>
              <dgm:constr type="h" for="ch" forName="ParentBackground2" refType="h" fact="0.5319"/>
              <dgm:constr type="l" for="ch" forName="Child2" refType="w" fact="0.149"/>
              <dgm:constr type="t" for="ch" forName="Child2" refType="h" fact="0.6876"/>
              <dgm:constr type="w" for="ch" forName="Child2" refType="w" fact="0.1108"/>
              <dgm:constr type="h" for="ch" forName="Child2" refType="h" fact="0.3124"/>
              <dgm:constr type="l" for="ch" forName="Accent1" refType="w" fact="-0.0023"/>
              <dgm:constr type="t" for="ch" forName="Accent1" refType="h" fact="-0.0109"/>
              <dgm:constr type="w" for="ch" forName="Accent1" refType="w" fact="0.1679"/>
              <dgm:constr type="h" for="ch" forName="Accent1" refType="h" fact="0.806"/>
              <dgm:constr type="l" for="ch" forName="ParentBackground1" refType="w" fact="0.0263"/>
              <dgm:constr type="t" for="ch" forName="ParentBackground1" refType="h" fact="0.1262"/>
              <dgm:constr type="w" for="ch" forName="ParentBackground1" refType="w" fact="0.1108"/>
              <dgm:constr type="h" for="ch" forName="ParentBackground1" refType="h" fact="0.5319"/>
              <dgm:constr type="l" for="ch" forName="Child1" refType="w" fact="0.0263"/>
              <dgm:constr type="t" for="ch" forName="Child1" refType="h" fact="0.6876"/>
              <dgm:constr type="w" for="ch" forName="Child1" refType="w" fact="0.1108"/>
              <dgm:constr type="h" for="ch" forName="Child1" refType="h" fact="0.3124"/>
            </dgm:constrLst>
          </dgm:if>
          <dgm:if name="Name12"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l" for="ch" forName="Parent9" refType="w" fact="0.9119"/>
              <dgm:constr type="t" for="ch" forName="Parent9" refType="h" fact="0.2022"/>
              <dgm:constr type="w" for="ch" forName="Parent9" refType="w" fact="0.0705"/>
              <dgm:constr type="h" for="ch" forName="Parent9" refType="h" fact="0.3799"/>
              <dgm:constr type="l" for="ch" forName="Parent8" refType="w" fact="0.8026"/>
              <dgm:constr type="t" for="ch" forName="Parent8" refType="h" fact="0.2022"/>
              <dgm:constr type="w" for="ch" forName="Parent8" refType="w" fact="0.0705"/>
              <dgm:constr type="h" for="ch" forName="Parent8" refType="h" fact="0.3799"/>
              <dgm:constr type="l" for="ch" forName="Parent7" refType="w" fact="0.6933"/>
              <dgm:constr type="t" for="ch" forName="Parent7" refType="h" fact="0.2022"/>
              <dgm:constr type="w" for="ch" forName="Parent7" refType="w" fact="0.0705"/>
              <dgm:constr type="h" for="ch" forName="Parent7" refType="h" fact="0.3799"/>
              <dgm:constr type="l" for="ch" forName="Parent6" refType="w" fact="0.584"/>
              <dgm:constr type="t" for="ch" forName="Parent6" refType="h" fact="0.2022"/>
              <dgm:constr type="w" for="ch" forName="Parent6" refType="w" fact="0.0705"/>
              <dgm:constr type="h" for="ch" forName="Parent6" refType="h" fact="0.3799"/>
              <dgm:constr type="l" for="ch" forName="Parent5" refType="w" fact="0.4747"/>
              <dgm:constr type="t" for="ch" forName="Parent5" refType="h" fact="0.2022"/>
              <dgm:constr type="w" for="ch" forName="Parent5" refType="w" fact="0.0705"/>
              <dgm:constr type="h" for="ch" forName="Parent5" refType="h" fact="0.3799"/>
              <dgm:constr type="l" for="ch" forName="Parent4" refType="w" fact="0.3654"/>
              <dgm:constr type="t" for="ch" forName="Parent4" refType="h" fact="0.2022"/>
              <dgm:constr type="w" for="ch" forName="Parent4" refType="w" fact="0.0705"/>
              <dgm:constr type="h" for="ch" forName="Parent4" refType="h" fact="0.3799"/>
              <dgm:constr type="l" for="ch" forName="Parent3" refType="w" fact="0.2561"/>
              <dgm:constr type="t" for="ch" forName="Parent3" refType="h" fact="0.2022"/>
              <dgm:constr type="w" for="ch" forName="Parent3" refType="w" fact="0.0705"/>
              <dgm:constr type="h" for="ch" forName="Parent3" refType="h" fact="0.3799"/>
              <dgm:constr type="l" for="ch" forName="Parent2" refType="w" fact="0.1468"/>
              <dgm:constr type="t" for="ch" forName="Parent2" refType="h" fact="0.2022"/>
              <dgm:constr type="w" for="ch" forName="Parent2" refType="w" fact="0.0705"/>
              <dgm:constr type="h" for="ch" forName="Parent2" refType="h" fact="0.3799"/>
              <dgm:constr type="l" for="ch" forName="Parent1" refType="w" fact="0.0375"/>
              <dgm:constr type="t" for="ch" forName="Parent1" refType="h" fact="0.2022"/>
              <dgm:constr type="w" for="ch" forName="Parent1" refType="w" fact="0.0705"/>
              <dgm:constr type="h" for="ch" forName="Parent1" refType="h" fact="0.3799"/>
              <dgm:constr type="l" for="ch" forName="Accent9" refType="w" fact="0.8942"/>
              <dgm:constr type="t" for="ch" forName="Accent9" refType="h" fact="0.1072"/>
              <dgm:constr type="w" for="ch" forName="Accent9" refType="w" fact="0.1058"/>
              <dgm:constr type="h" for="ch" forName="Accent9" refType="h" fact="0.5699"/>
              <dgm:constr type="l" for="ch" forName="ParentBackground9" refType="w" fact="0.8978"/>
              <dgm:constr type="t" for="ch" forName="ParentBackground9" refType="h" fact="0.1262"/>
              <dgm:constr type="w" for="ch" forName="ParentBackground9" refType="w" fact="0.0987"/>
              <dgm:constr type="h" for="ch" forName="ParentBackground9" refType="h" fact="0.5319"/>
              <dgm:constr type="l" for="ch" forName="Child9" refType="w" fact="0.8978"/>
              <dgm:constr type="t" for="ch" forName="Child9" refType="h" fact="0.6876"/>
              <dgm:constr type="w" for="ch" forName="Child9" refType="w" fact="0.0987"/>
              <dgm:constr type="h" for="ch" forName="Child9" refType="h" fact="0.3124"/>
              <dgm:constr type="l" for="ch" forName="Accent8" refType="w" fact="0.763"/>
              <dgm:constr type="t" for="ch" forName="Accent8" refType="h" fact="-0.0109"/>
              <dgm:constr type="w" for="ch" forName="Accent8" refType="w" fact="0.1496"/>
              <dgm:constr type="h" for="ch" forName="Accent8" refType="h" fact="0.806"/>
              <dgm:constr type="l" for="ch" forName="ParentBackground8" refType="w" fact="0.7885"/>
              <dgm:constr type="t" for="ch" forName="ParentBackground8" refType="h" fact="0.1262"/>
              <dgm:constr type="w" for="ch" forName="ParentBackground8" refType="w" fact="0.0987"/>
              <dgm:constr type="h" for="ch" forName="ParentBackground8" refType="h" fact="0.5319"/>
              <dgm:constr type="l" for="ch" forName="Child8" refType="w" fact="0.7885"/>
              <dgm:constr type="t" for="ch" forName="Child8" refType="h" fact="0.6876"/>
              <dgm:constr type="w" for="ch" forName="Child8" refType="w" fact="0.0987"/>
              <dgm:constr type="h" for="ch" forName="Child8" refType="h" fact="0.3124"/>
              <dgm:constr type="l" for="ch" forName="Accent7" refType="w" fact="0.6538"/>
              <dgm:constr type="t" for="ch" forName="Accent7" refType="h" fact="-0.0109"/>
              <dgm:constr type="w" for="ch" forName="Accent7" refType="w" fact="0.1496"/>
              <dgm:constr type="h" for="ch" forName="Accent7" refType="h" fact="0.806"/>
              <dgm:constr type="l" for="ch" forName="ParentBackground7" refType="w" fact="0.6792"/>
              <dgm:constr type="t" for="ch" forName="ParentBackground7" refType="h" fact="0.1262"/>
              <dgm:constr type="w" for="ch" forName="ParentBackground7" refType="w" fact="0.0987"/>
              <dgm:constr type="h" for="ch" forName="ParentBackground7" refType="h" fact="0.5319"/>
              <dgm:constr type="l" for="ch" forName="Child7" refType="w" fact="0.6792"/>
              <dgm:constr type="t" for="ch" forName="Child7" refType="h" fact="0.6876"/>
              <dgm:constr type="w" for="ch" forName="Child7" refType="w" fact="0.0987"/>
              <dgm:constr type="h" for="ch" forName="Child7" refType="h" fact="0.3124"/>
              <dgm:constr type="l" for="ch" forName="Accent6" refType="w" fact="0.5445"/>
              <dgm:constr type="t" for="ch" forName="Accent6" refType="h" fact="-0.0109"/>
              <dgm:constr type="w" for="ch" forName="Accent6" refType="w" fact="0.1496"/>
              <dgm:constr type="h" for="ch" forName="Accent6" refType="h" fact="0.806"/>
              <dgm:constr type="l" for="ch" forName="ParentBackground6" refType="w" fact="0.5699"/>
              <dgm:constr type="t" for="ch" forName="ParentBackground6" refType="h" fact="0.1262"/>
              <dgm:constr type="w" for="ch" forName="ParentBackground6" refType="w" fact="0.0987"/>
              <dgm:constr type="h" for="ch" forName="ParentBackground6" refType="h" fact="0.5319"/>
              <dgm:constr type="l" for="ch" forName="Child6" refType="w" fact="0.5699"/>
              <dgm:constr type="t" for="ch" forName="Child6" refType="h" fact="0.6876"/>
              <dgm:constr type="w" for="ch" forName="Child6" refType="w" fact="0.0987"/>
              <dgm:constr type="h" for="ch" forName="Child6" refType="h" fact="0.3124"/>
              <dgm:constr type="l" for="ch" forName="Accent5" refType="w" fact="0.4352"/>
              <dgm:constr type="t" for="ch" forName="Accent5" refType="h" fact="-0.0109"/>
              <dgm:constr type="w" for="ch" forName="Accent5" refType="w" fact="0.1496"/>
              <dgm:constr type="h" for="ch" forName="Accent5" refType="h" fact="0.806"/>
              <dgm:constr type="l" for="ch" forName="ParentBackground5" refType="w" fact="0.4606"/>
              <dgm:constr type="t" for="ch" forName="ParentBackground5" refType="h" fact="0.1262"/>
              <dgm:constr type="w" for="ch" forName="ParentBackground5" refType="w" fact="0.0987"/>
              <dgm:constr type="h" for="ch" forName="ParentBackground5" refType="h" fact="0.5319"/>
              <dgm:constr type="l" for="ch" forName="Child5" refType="w" fact="0.4606"/>
              <dgm:constr type="t" for="ch" forName="Child5" refType="h" fact="0.6876"/>
              <dgm:constr type="w" for="ch" forName="Child5" refType="w" fact="0.0987"/>
              <dgm:constr type="h" for="ch" forName="Child5" refType="h" fact="0.3124"/>
              <dgm:constr type="l" for="ch" forName="Accent4" refType="w" fact="0.3259"/>
              <dgm:constr type="t" for="ch" forName="Accent4" refType="h" fact="-0.0109"/>
              <dgm:constr type="w" for="ch" forName="Accent4" refType="w" fact="0.1496"/>
              <dgm:constr type="h" for="ch" forName="Accent4" refType="h" fact="0.806"/>
              <dgm:constr type="l" for="ch" forName="ParentBackground4" refType="w" fact="0.3513"/>
              <dgm:constr type="t" for="ch" forName="ParentBackground4" refType="h" fact="0.1262"/>
              <dgm:constr type="w" for="ch" forName="ParentBackground4" refType="w" fact="0.0987"/>
              <dgm:constr type="h" for="ch" forName="ParentBackground4" refType="h" fact="0.5319"/>
              <dgm:constr type="l" for="ch" forName="Child4" refType="w" fact="0.3513"/>
              <dgm:constr type="t" for="ch" forName="Child4" refType="h" fact="0.6876"/>
              <dgm:constr type="w" for="ch" forName="Child4" refType="w" fact="0.0987"/>
              <dgm:constr type="h" for="ch" forName="Child4" refType="h" fact="0.3124"/>
              <dgm:constr type="l" for="ch" forName="Accent3" refType="w" fact="0.2166"/>
              <dgm:constr type="t" for="ch" forName="Accent3" refType="h" fact="-0.0109"/>
              <dgm:constr type="w" for="ch" forName="Accent3" refType="w" fact="0.1496"/>
              <dgm:constr type="h" for="ch" forName="Accent3" refType="h" fact="0.806"/>
              <dgm:constr type="l" for="ch" forName="ParentBackground3" refType="w" fact="0.242"/>
              <dgm:constr type="t" for="ch" forName="ParentBackground3" refType="h" fact="0.1262"/>
              <dgm:constr type="w" for="ch" forName="ParentBackground3" refType="w" fact="0.0987"/>
              <dgm:constr type="h" for="ch" forName="ParentBackground3" refType="h" fact="0.5319"/>
              <dgm:constr type="l" for="ch" forName="Child3" refType="w" fact="0.242"/>
              <dgm:constr type="t" for="ch" forName="Child3" refType="h" fact="0.6876"/>
              <dgm:constr type="w" for="ch" forName="Child3" refType="w" fact="0.0987"/>
              <dgm:constr type="h" for="ch" forName="Child3" refType="h" fact="0.3124"/>
              <dgm:constr type="l" for="ch" forName="Accent2" refType="w" fact="0.1073"/>
              <dgm:constr type="t" for="ch" forName="Accent2" refType="h" fact="-0.0109"/>
              <dgm:constr type="w" for="ch" forName="Accent2" refType="w" fact="0.1496"/>
              <dgm:constr type="h" for="ch" forName="Accent2" refType="h" fact="0.806"/>
              <dgm:constr type="l" for="ch" forName="ParentBackground2" refType="w" fact="0.1327"/>
              <dgm:constr type="t" for="ch" forName="ParentBackground2" refType="h" fact="0.1262"/>
              <dgm:constr type="w" for="ch" forName="ParentBackground2" refType="w" fact="0.0987"/>
              <dgm:constr type="h" for="ch" forName="ParentBackground2" refType="h" fact="0.5319"/>
              <dgm:constr type="l" for="ch" forName="Child2" refType="w" fact="0.1327"/>
              <dgm:constr type="t" for="ch" forName="Child2" refType="h" fact="0.6876"/>
              <dgm:constr type="w" for="ch" forName="Child2" refType="w" fact="0.0987"/>
              <dgm:constr type="h" for="ch" forName="Child2" refType="h" fact="0.3124"/>
              <dgm:constr type="l" for="ch" forName="Accent1" refType="w" fact="-0.002"/>
              <dgm:constr type="t" for="ch" forName="Accent1" refType="h" fact="-0.0109"/>
              <dgm:constr type="w" for="ch" forName="Accent1" refType="w" fact="0.1496"/>
              <dgm:constr type="h" for="ch" forName="Accent1" refType="h" fact="0.806"/>
              <dgm:constr type="l" for="ch" forName="ParentBackground1" refType="w" fact="0.0234"/>
              <dgm:constr type="t" for="ch" forName="ParentBackground1" refType="h" fact="0.1262"/>
              <dgm:constr type="w" for="ch" forName="ParentBackground1" refType="w" fact="0.0987"/>
              <dgm:constr type="h" for="ch" forName="ParentBackground1" refType="h" fact="0.5319"/>
              <dgm:constr type="l" for="ch" forName="Child1" refType="w" fact="0.0234"/>
              <dgm:constr type="t" for="ch" forName="Child1" refType="h" fact="0.6876"/>
              <dgm:constr type="w" for="ch" forName="Child1" refType="w" fact="0.0987"/>
              <dgm:constr type="h" for="ch" forName="Child1" refType="h" fact="0.3124"/>
            </dgm:constrLst>
          </dgm:if>
          <dgm:if name="Name13"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l" for="ch" forName="Parent10" refType="w" fact="0.9205"/>
              <dgm:constr type="t" for="ch" forName="Parent10" refType="h" fact="0.2022"/>
              <dgm:constr type="w" for="ch" forName="Parent10" refType="w" fact="0.0636"/>
              <dgm:constr type="h" for="ch" forName="Parent10" refType="h" fact="0.3799"/>
              <dgm:constr type="l" for="ch" forName="Parent9" refType="w" fact="0.822"/>
              <dgm:constr type="t" for="ch" forName="Parent9" refType="h" fact="0.2022"/>
              <dgm:constr type="w" for="ch" forName="Parent9" refType="w" fact="0.0636"/>
              <dgm:constr type="h" for="ch" forName="Parent9" refType="h" fact="0.3799"/>
              <dgm:constr type="l" for="ch" forName="Parent8" refType="w" fact="0.7235"/>
              <dgm:constr type="t" for="ch" forName="Parent8" refType="h" fact="0.2022"/>
              <dgm:constr type="w" for="ch" forName="Parent8" refType="w" fact="0.0636"/>
              <dgm:constr type="h" for="ch" forName="Parent8" refType="h" fact="0.3799"/>
              <dgm:constr type="l" for="ch" forName="Parent7" refType="w" fact="0.625"/>
              <dgm:constr type="t" for="ch" forName="Parent7" refType="h" fact="0.2022"/>
              <dgm:constr type="w" for="ch" forName="Parent7" refType="w" fact="0.0636"/>
              <dgm:constr type="h" for="ch" forName="Parent7" refType="h" fact="0.3799"/>
              <dgm:constr type="l" for="ch" forName="Parent6" refType="w" fact="0.5264"/>
              <dgm:constr type="t" for="ch" forName="Parent6" refType="h" fact="0.2022"/>
              <dgm:constr type="w" for="ch" forName="Parent6" refType="w" fact="0.0636"/>
              <dgm:constr type="h" for="ch" forName="Parent6" refType="h" fact="0.3799"/>
              <dgm:constr type="l" for="ch" forName="Parent5" refType="w" fact="0.4279"/>
              <dgm:constr type="t" for="ch" forName="Parent5" refType="h" fact="0.2022"/>
              <dgm:constr type="w" for="ch" forName="Parent5" refType="w" fact="0.0636"/>
              <dgm:constr type="h" for="ch" forName="Parent5" refType="h" fact="0.3799"/>
              <dgm:constr type="l" for="ch" forName="Parent4" refType="w" fact="0.3294"/>
              <dgm:constr type="t" for="ch" forName="Parent4" refType="h" fact="0.2022"/>
              <dgm:constr type="w" for="ch" forName="Parent4" refType="w" fact="0.0636"/>
              <dgm:constr type="h" for="ch" forName="Parent4" refType="h" fact="0.3799"/>
              <dgm:constr type="l" for="ch" forName="Parent3" refType="w" fact="0.2309"/>
              <dgm:constr type="t" for="ch" forName="Parent3" refType="h" fact="0.2022"/>
              <dgm:constr type="w" for="ch" forName="Parent3" refType="w" fact="0.0636"/>
              <dgm:constr type="h" for="ch" forName="Parent3" refType="h" fact="0.3799"/>
              <dgm:constr type="l" for="ch" forName="Parent2" refType="w" fact="0.1324"/>
              <dgm:constr type="t" for="ch" forName="Parent2" refType="h" fact="0.2022"/>
              <dgm:constr type="w" for="ch" forName="Parent2" refType="w" fact="0.0636"/>
              <dgm:constr type="h" for="ch" forName="Parent2" refType="h" fact="0.3799"/>
              <dgm:constr type="l" for="ch" forName="Parent1" refType="w" fact="0.0338"/>
              <dgm:constr type="t" for="ch" forName="Parent1" refType="h" fact="0.2022"/>
              <dgm:constr type="w" for="ch" forName="Parent1" refType="w" fact="0.0636"/>
              <dgm:constr type="h" for="ch" forName="Parent1" refType="h" fact="0.3799"/>
              <dgm:constr type="l" for="ch" forName="Accent10" refType="w" fact="0.9047"/>
              <dgm:constr type="t" for="ch" forName="Accent10" refType="h" fact="0.1072"/>
              <dgm:constr type="w" for="ch" forName="Accent10" refType="w" fact="0.0953"/>
              <dgm:constr type="h" for="ch" forName="Accent10" refType="h" fact="0.5699"/>
              <dgm:constr type="l" for="ch" forName="ParentBackground10" refType="w" fact="0.9078"/>
              <dgm:constr type="t" for="ch" forName="ParentBackground10" refType="h" fact="0.1262"/>
              <dgm:constr type="w" for="ch" forName="ParentBackground10" refType="w" fact="0.089"/>
              <dgm:constr type="h" for="ch" forName="ParentBackground10" refType="h" fact="0.5319"/>
              <dgm:constr type="l" for="ch" forName="Child10" refType="w" fact="0.9078"/>
              <dgm:constr type="t" for="ch" forName="Child10" refType="h" fact="0.6876"/>
              <dgm:constr type="w" for="ch" forName="Child10" refType="w" fact="0.089"/>
              <dgm:constr type="h" for="ch" forName="Child10" refType="h" fact="0.3124"/>
              <dgm:constr type="l" for="ch" forName="Accent9" refType="w" fact="0.7864"/>
              <dgm:constr type="t" for="ch" forName="Accent9" refType="h" fact="-0.0109"/>
              <dgm:constr type="w" for="ch" forName="Accent9" refType="w" fact="0.1348"/>
              <dgm:constr type="h" for="ch" forName="Accent9" refType="h" fact="0.806"/>
              <dgm:constr type="l" for="ch" forName="ParentBackground9" refType="w" fact="0.8093"/>
              <dgm:constr type="t" for="ch" forName="ParentBackground9" refType="h" fact="0.1262"/>
              <dgm:constr type="w" for="ch" forName="ParentBackground9" refType="w" fact="0.089"/>
              <dgm:constr type="h" for="ch" forName="ParentBackground9" refType="h" fact="0.5319"/>
              <dgm:constr type="l" for="ch" forName="Child9" refType="w" fact="0.8093"/>
              <dgm:constr type="t" for="ch" forName="Child9" refType="h" fact="0.6876"/>
              <dgm:constr type="w" for="ch" forName="Child9" refType="w" fact="0.089"/>
              <dgm:constr type="h" for="ch" forName="Child9" refType="h" fact="0.3124"/>
              <dgm:constr type="l" for="ch" forName="Accent8" refType="w" fact="0.6879"/>
              <dgm:constr type="t" for="ch" forName="Accent8" refType="h" fact="-0.0109"/>
              <dgm:constr type="w" for="ch" forName="Accent8" refType="w" fact="0.1348"/>
              <dgm:constr type="h" for="ch" forName="Accent8" refType="h" fact="0.806"/>
              <dgm:constr type="l" for="ch" forName="ParentBackground8" refType="w" fact="0.7108"/>
              <dgm:constr type="t" for="ch" forName="ParentBackground8" refType="h" fact="0.1262"/>
              <dgm:constr type="w" for="ch" forName="ParentBackground8" refType="w" fact="0.089"/>
              <dgm:constr type="h" for="ch" forName="ParentBackground8" refType="h" fact="0.5319"/>
              <dgm:constr type="l" for="ch" forName="Child8" refType="w" fact="0.7108"/>
              <dgm:constr type="t" for="ch" forName="Child8" refType="h" fact="0.6876"/>
              <dgm:constr type="w" for="ch" forName="Child8" refType="w" fact="0.089"/>
              <dgm:constr type="h" for="ch" forName="Child8" refType="h" fact="0.3124"/>
              <dgm:constr type="l" for="ch" forName="Accent7" refType="w" fact="0.5893"/>
              <dgm:constr type="t" for="ch" forName="Accent7" refType="h" fact="-0.0109"/>
              <dgm:constr type="w" for="ch" forName="Accent7" refType="w" fact="0.1348"/>
              <dgm:constr type="h" for="ch" forName="Accent7" refType="h" fact="0.806"/>
              <dgm:constr type="l" for="ch" forName="ParentBackground7" refType="w" fact="0.6123"/>
              <dgm:constr type="t" for="ch" forName="ParentBackground7" refType="h" fact="0.1262"/>
              <dgm:constr type="w" for="ch" forName="ParentBackground7" refType="w" fact="0.089"/>
              <dgm:constr type="h" for="ch" forName="ParentBackground7" refType="h" fact="0.5319"/>
              <dgm:constr type="l" for="ch" forName="Child7" refType="w" fact="0.6123"/>
              <dgm:constr type="t" for="ch" forName="Child7" refType="h" fact="0.6876"/>
              <dgm:constr type="w" for="ch" forName="Child7" refType="w" fact="0.089"/>
              <dgm:constr type="h" for="ch" forName="Child7" refType="h" fact="0.3124"/>
              <dgm:constr type="l" for="ch" forName="Accent6" refType="w" fact="0.4908"/>
              <dgm:constr type="t" for="ch" forName="Accent6" refType="h" fact="-0.0109"/>
              <dgm:constr type="w" for="ch" forName="Accent6" refType="w" fact="0.1348"/>
              <dgm:constr type="h" for="ch" forName="Accent6" refType="h" fact="0.806"/>
              <dgm:constr type="l" for="ch" forName="ParentBackground6" refType="w" fact="0.5137"/>
              <dgm:constr type="t" for="ch" forName="ParentBackground6" refType="h" fact="0.1262"/>
              <dgm:constr type="w" for="ch" forName="ParentBackground6" refType="w" fact="0.089"/>
              <dgm:constr type="h" for="ch" forName="ParentBackground6" refType="h" fact="0.5319"/>
              <dgm:constr type="l" for="ch" forName="Child6" refType="w" fact="0.5137"/>
              <dgm:constr type="t" for="ch" forName="Child6" refType="h" fact="0.6876"/>
              <dgm:constr type="w" for="ch" forName="Child6" refType="w" fact="0.089"/>
              <dgm:constr type="h" for="ch" forName="Child6" refType="h" fact="0.3124"/>
              <dgm:constr type="l" for="ch" forName="Accent5" refType="w" fact="0.3923"/>
              <dgm:constr type="t" for="ch" forName="Accent5" refType="h" fact="-0.0109"/>
              <dgm:constr type="w" for="ch" forName="Accent5" refType="w" fact="0.1348"/>
              <dgm:constr type="h" for="ch" forName="Accent5" refType="h" fact="0.806"/>
              <dgm:constr type="l" for="ch" forName="ParentBackground5" refType="w" fact="0.4152"/>
              <dgm:constr type="t" for="ch" forName="ParentBackground5" refType="h" fact="0.1262"/>
              <dgm:constr type="w" for="ch" forName="ParentBackground5" refType="w" fact="0.089"/>
              <dgm:constr type="h" for="ch" forName="ParentBackground5" refType="h" fact="0.5319"/>
              <dgm:constr type="l" for="ch" forName="Child5" refType="w" fact="0.4152"/>
              <dgm:constr type="t" for="ch" forName="Child5" refType="h" fact="0.6876"/>
              <dgm:constr type="w" for="ch" forName="Child5" refType="w" fact="0.089"/>
              <dgm:constr type="h" for="ch" forName="Child5" refType="h" fact="0.3124"/>
              <dgm:constr type="l" for="ch" forName="Accent4" refType="w" fact="0.2938"/>
              <dgm:constr type="t" for="ch" forName="Accent4" refType="h" fact="-0.0109"/>
              <dgm:constr type="w" for="ch" forName="Accent4" refType="w" fact="0.1348"/>
              <dgm:constr type="h" for="ch" forName="Accent4" refType="h" fact="0.806"/>
              <dgm:constr type="l" for="ch" forName="ParentBackground4" refType="w" fact="0.3167"/>
              <dgm:constr type="t" for="ch" forName="ParentBackground4" refType="h" fact="0.1262"/>
              <dgm:constr type="w" for="ch" forName="ParentBackground4" refType="w" fact="0.089"/>
              <dgm:constr type="h" for="ch" forName="ParentBackground4" refType="h" fact="0.5319"/>
              <dgm:constr type="l" for="ch" forName="Child4" refType="w" fact="0.3167"/>
              <dgm:constr type="t" for="ch" forName="Child4" refType="h" fact="0.6876"/>
              <dgm:constr type="w" for="ch" forName="Child4" refType="w" fact="0.089"/>
              <dgm:constr type="h" for="ch" forName="Child4" refType="h" fact="0.3124"/>
              <dgm:constr type="l" for="ch" forName="Accent3" refType="w" fact="0.1952"/>
              <dgm:constr type="t" for="ch" forName="Accent3" refType="h" fact="-0.0109"/>
              <dgm:constr type="w" for="ch" forName="Accent3" refType="w" fact="0.1348"/>
              <dgm:constr type="h" for="ch" forName="Accent3" refType="h" fact="0.806"/>
              <dgm:constr type="l" for="ch" forName="ParentBackground3" refType="w" fact="0.2182"/>
              <dgm:constr type="t" for="ch" forName="ParentBackground3" refType="h" fact="0.1262"/>
              <dgm:constr type="w" for="ch" forName="ParentBackground3" refType="w" fact="0.089"/>
              <dgm:constr type="h" for="ch" forName="ParentBackground3" refType="h" fact="0.5319"/>
              <dgm:constr type="l" for="ch" forName="Child3" refType="w" fact="0.2182"/>
              <dgm:constr type="t" for="ch" forName="Child3" refType="h" fact="0.6876"/>
              <dgm:constr type="w" for="ch" forName="Child3" refType="w" fact="0.089"/>
              <dgm:constr type="h" for="ch" forName="Child3" refType="h" fact="0.3124"/>
              <dgm:constr type="l" for="ch" forName="Accent2" refType="w" fact="0.0967"/>
              <dgm:constr type="t" for="ch" forName="Accent2" refType="h" fact="-0.0109"/>
              <dgm:constr type="w" for="ch" forName="Accent2" refType="w" fact="0.1348"/>
              <dgm:constr type="h" for="ch" forName="Accent2" refType="h" fact="0.806"/>
              <dgm:constr type="l" for="ch" forName="ParentBackground2" refType="w" fact="0.1196"/>
              <dgm:constr type="t" for="ch" forName="ParentBackground2" refType="h" fact="0.1262"/>
              <dgm:constr type="w" for="ch" forName="ParentBackground2" refType="w" fact="0.089"/>
              <dgm:constr type="h" for="ch" forName="ParentBackground2" refType="h" fact="0.5319"/>
              <dgm:constr type="l" for="ch" forName="Child2" refType="w" fact="0.1196"/>
              <dgm:constr type="t" for="ch" forName="Child2" refType="h" fact="0.6876"/>
              <dgm:constr type="w" for="ch" forName="Child2" refType="w" fact="0.089"/>
              <dgm:constr type="h" for="ch" forName="Child2" refType="h" fact="0.3124"/>
              <dgm:constr type="l" for="ch" forName="Accent1" refType="w" fact="-0.0018"/>
              <dgm:constr type="t" for="ch" forName="Accent1" refType="h" fact="-0.0109"/>
              <dgm:constr type="w" for="ch" forName="Accent1" refType="w" fact="0.1348"/>
              <dgm:constr type="h" for="ch" forName="Accent1" refType="h" fact="0.806"/>
              <dgm:constr type="l" for="ch" forName="ParentBackground1" refType="w" fact="0.0211"/>
              <dgm:constr type="t" for="ch" forName="ParentBackground1" refType="h" fact="0.1262"/>
              <dgm:constr type="w" for="ch" forName="ParentBackground1" refType="w" fact="0.089"/>
              <dgm:constr type="h" for="ch" forName="ParentBackground1" refType="h" fact="0.5319"/>
              <dgm:constr type="l" for="ch" forName="Child1" refType="w" fact="0.0211"/>
              <dgm:constr type="t" for="ch" forName="Child1" refType="h" fact="0.6876"/>
              <dgm:constr type="w" for="ch" forName="Child1" refType="w" fact="0.089"/>
              <dgm:constr type="h" for="ch" forName="Child1" refType="h" fact="0.3124"/>
            </dgm:constrLst>
          </dgm:if>
          <dgm:else name="Name14">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l" for="ch" forName="Parent11" refType="w" fact="0.9277"/>
              <dgm:constr type="t" for="ch" forName="Parent11" refType="h" fact="0.2022"/>
              <dgm:constr type="w" for="ch" forName="Parent11" refType="w" fact="0.0579"/>
              <dgm:constr type="h" for="ch" forName="Parent11" refType="h" fact="0.3799"/>
              <dgm:constr type="l" for="ch" forName="Parent10" refType="w" fact="0.838"/>
              <dgm:constr type="t" for="ch" forName="Parent10" refType="h" fact="0.2022"/>
              <dgm:constr type="w" for="ch" forName="Parent10" refType="w" fact="0.0579"/>
              <dgm:constr type="h" for="ch" forName="Parent10" refType="h" fact="0.3799"/>
              <dgm:constr type="l" for="ch" forName="Parent9" refType="w" fact="0.7483"/>
              <dgm:constr type="t" for="ch" forName="Parent9" refType="h" fact="0.2022"/>
              <dgm:constr type="w" for="ch" forName="Parent9" refType="w" fact="0.0579"/>
              <dgm:constr type="h" for="ch" forName="Parent9" refType="h" fact="0.3799"/>
              <dgm:constr type="l" for="ch" forName="Parent8" refType="w" fact="0.6586"/>
              <dgm:constr type="t" for="ch" forName="Parent8" refType="h" fact="0.2022"/>
              <dgm:constr type="w" for="ch" forName="Parent8" refType="w" fact="0.0579"/>
              <dgm:constr type="h" for="ch" forName="Parent8" refType="h" fact="0.3799"/>
              <dgm:constr type="l" for="ch" forName="Parent7" refType="w" fact="0.5689"/>
              <dgm:constr type="t" for="ch" forName="Parent7" refType="h" fact="0.2022"/>
              <dgm:constr type="w" for="ch" forName="Parent7" refType="w" fact="0.0579"/>
              <dgm:constr type="h" for="ch" forName="Parent7" refType="h" fact="0.3799"/>
              <dgm:constr type="l" for="ch" forName="Parent6" refType="w" fact="0.4792"/>
              <dgm:constr type="t" for="ch" forName="Parent6" refType="h" fact="0.2022"/>
              <dgm:constr type="w" for="ch" forName="Parent6" refType="w" fact="0.0579"/>
              <dgm:constr type="h" for="ch" forName="Parent6" refType="h" fact="0.3799"/>
              <dgm:constr type="l" for="ch" forName="Parent5" refType="w" fact="0.3895"/>
              <dgm:constr type="t" for="ch" forName="Parent5" refType="h" fact="0.2022"/>
              <dgm:constr type="w" for="ch" forName="Parent5" refType="w" fact="0.0579"/>
              <dgm:constr type="h" for="ch" forName="Parent5" refType="h" fact="0.3799"/>
              <dgm:constr type="l" for="ch" forName="Parent4" refType="w" fact="0.2999"/>
              <dgm:constr type="t" for="ch" forName="Parent4" refType="h" fact="0.2022"/>
              <dgm:constr type="w" for="ch" forName="Parent4" refType="w" fact="0.0579"/>
              <dgm:constr type="h" for="ch" forName="Parent4" refType="h" fact="0.3799"/>
              <dgm:constr type="l" for="ch" forName="Parent3" refType="w" fact="0.2102"/>
              <dgm:constr type="t" for="ch" forName="Parent3" refType="h" fact="0.2022"/>
              <dgm:constr type="w" for="ch" forName="Parent3" refType="w" fact="0.0579"/>
              <dgm:constr type="h" for="ch" forName="Parent3" refType="h" fact="0.3799"/>
              <dgm:constr type="l" for="ch" forName="Parent2" refType="w" fact="0.1205"/>
              <dgm:constr type="t" for="ch" forName="Parent2" refType="h" fact="0.2022"/>
              <dgm:constr type="w" for="ch" forName="Parent2" refType="w" fact="0.0579"/>
              <dgm:constr type="h" for="ch" forName="Parent2" refType="h" fact="0.3799"/>
              <dgm:constr type="l" for="ch" forName="Parent1" refType="w" fact="0.0308"/>
              <dgm:constr type="t" for="ch" forName="Parent1" refType="h" fact="0.2022"/>
              <dgm:constr type="w" for="ch" forName="Parent1" refType="w" fact="0.0579"/>
              <dgm:constr type="h" for="ch" forName="Parent1" refType="h" fact="0.3799"/>
              <dgm:constr type="l" for="ch" forName="Accent11" refType="w" fact="0.9132"/>
              <dgm:constr type="t" for="ch" forName="Accent11" refType="h" fact="0.1072"/>
              <dgm:constr type="w" for="ch" forName="Accent11" refType="w" fact="0.0868"/>
              <dgm:constr type="h" for="ch" forName="Accent11" refType="h" fact="0.5699"/>
              <dgm:constr type="l" for="ch" forName="ParentBackground11" refType="w" fact="0.9161"/>
              <dgm:constr type="t" for="ch" forName="ParentBackground11" refType="h" fact="0.1262"/>
              <dgm:constr type="w" for="ch" forName="ParentBackground11" refType="w" fact="0.081"/>
              <dgm:constr type="h" for="ch" forName="ParentBackground11" refType="h" fact="0.5319"/>
              <dgm:constr type="l" for="ch" forName="Child11" refType="w" fact="0.9161"/>
              <dgm:constr type="t" for="ch" forName="Child11" refType="h" fact="0.6876"/>
              <dgm:constr type="w" for="ch" forName="Child11" refType="w" fact="0.081"/>
              <dgm:constr type="h" for="ch" forName="Child11" refType="h" fact="0.3124"/>
              <dgm:constr type="l" for="ch" forName="Accent10" refType="w" fact="0.8055"/>
              <dgm:constr type="t" for="ch" forName="Accent10" refType="h" fact="-0.0109"/>
              <dgm:constr type="w" for="ch" forName="Accent10" refType="w" fact="0.1228"/>
              <dgm:constr type="h" for="ch" forName="Accent10" refType="h" fact="0.806"/>
              <dgm:constr type="l" for="ch" forName="ParentBackground10" refType="w" fact="0.8264"/>
              <dgm:constr type="t" for="ch" forName="ParentBackground10" refType="h" fact="0.1262"/>
              <dgm:constr type="w" for="ch" forName="ParentBackground10" refType="w" fact="0.081"/>
              <dgm:constr type="h" for="ch" forName="ParentBackground10" refType="h" fact="0.5319"/>
              <dgm:constr type="l" for="ch" forName="Child10" refType="w" fact="0.8264"/>
              <dgm:constr type="t" for="ch" forName="Child10" refType="h" fact="0.6876"/>
              <dgm:constr type="w" for="ch" forName="Child10" refType="w" fact="0.081"/>
              <dgm:constr type="h" for="ch" forName="Child10" refType="h" fact="0.3124"/>
              <dgm:constr type="l" for="ch" forName="Accent9" refType="w" fact="0.7158"/>
              <dgm:constr type="t" for="ch" forName="Accent9" refType="h" fact="-0.0109"/>
              <dgm:constr type="w" for="ch" forName="Accent9" refType="w" fact="0.1228"/>
              <dgm:constr type="h" for="ch" forName="Accent9" refType="h" fact="0.806"/>
              <dgm:constr type="l" for="ch" forName="ParentBackground9" refType="w" fact="0.7367"/>
              <dgm:constr type="t" for="ch" forName="ParentBackground9" refType="h" fact="0.1262"/>
              <dgm:constr type="w" for="ch" forName="ParentBackground9" refType="w" fact="0.081"/>
              <dgm:constr type="h" for="ch" forName="ParentBackground9" refType="h" fact="0.5319"/>
              <dgm:constr type="l" for="ch" forName="Child9" refType="w" fact="0.7367"/>
              <dgm:constr type="t" for="ch" forName="Child9" refType="h" fact="0.6876"/>
              <dgm:constr type="w" for="ch" forName="Child9" refType="w" fact="0.081"/>
              <dgm:constr type="h" for="ch" forName="Child9" refType="h" fact="0.3124"/>
              <dgm:constr type="l" for="ch" forName="Accent8" refType="w" fact="0.6261"/>
              <dgm:constr type="t" for="ch" forName="Accent8" refType="h" fact="-0.0109"/>
              <dgm:constr type="w" for="ch" forName="Accent8" refType="w" fact="0.1228"/>
              <dgm:constr type="h" for="ch" forName="Accent8" refType="h" fact="0.806"/>
              <dgm:constr type="l" for="ch" forName="ParentBackground8" refType="w" fact="0.647"/>
              <dgm:constr type="t" for="ch" forName="ParentBackground8" refType="h" fact="0.1262"/>
              <dgm:constr type="w" for="ch" forName="ParentBackground8" refType="w" fact="0.081"/>
              <dgm:constr type="h" for="ch" forName="ParentBackground8" refType="h" fact="0.5319"/>
              <dgm:constr type="l" for="ch" forName="Child8" refType="w" fact="0.647"/>
              <dgm:constr type="t" for="ch" forName="Child8" refType="h" fact="0.6876"/>
              <dgm:constr type="w" for="ch" forName="Child8" refType="w" fact="0.081"/>
              <dgm:constr type="h" for="ch" forName="Child8" refType="h" fact="0.3124"/>
              <dgm:constr type="l" for="ch" forName="Accent7" refType="w" fact="0.5364"/>
              <dgm:constr type="t" for="ch" forName="Accent7" refType="h" fact="-0.0109"/>
              <dgm:constr type="w" for="ch" forName="Accent7" refType="w" fact="0.1228"/>
              <dgm:constr type="h" for="ch" forName="Accent7" refType="h" fact="0.806"/>
              <dgm:constr type="l" for="ch" forName="ParentBackground7" refType="w" fact="0.5573"/>
              <dgm:constr type="t" for="ch" forName="ParentBackground7" refType="h" fact="0.1262"/>
              <dgm:constr type="w" for="ch" forName="ParentBackground7" refType="w" fact="0.081"/>
              <dgm:constr type="h" for="ch" forName="ParentBackground7" refType="h" fact="0.5319"/>
              <dgm:constr type="l" for="ch" forName="Child7" refType="w" fact="0.5573"/>
              <dgm:constr type="t" for="ch" forName="Child7" refType="h" fact="0.6876"/>
              <dgm:constr type="w" for="ch" forName="Child7" refType="w" fact="0.081"/>
              <dgm:constr type="h" for="ch" forName="Child7" refType="h" fact="0.3124"/>
              <dgm:constr type="l" for="ch" forName="Accent6" refType="w" fact="0.4467"/>
              <dgm:constr type="t" for="ch" forName="Accent6" refType="h" fact="-0.0109"/>
              <dgm:constr type="w" for="ch" forName="Accent6" refType="w" fact="0.1228"/>
              <dgm:constr type="h" for="ch" forName="Accent6" refType="h" fact="0.806"/>
              <dgm:constr type="l" for="ch" forName="ParentBackground6" refType="w" fact="0.4677"/>
              <dgm:constr type="t" for="ch" forName="ParentBackground6" refType="h" fact="0.1262"/>
              <dgm:constr type="w" for="ch" forName="ParentBackground6" refType="w" fact="0.081"/>
              <dgm:constr type="h" for="ch" forName="ParentBackground6" refType="h" fact="0.5319"/>
              <dgm:constr type="l" for="ch" forName="Child6" refType="w" fact="0.4677"/>
              <dgm:constr type="t" for="ch" forName="Child6" refType="h" fact="0.6876"/>
              <dgm:constr type="w" for="ch" forName="Child6" refType="w" fact="0.081"/>
              <dgm:constr type="h" for="ch" forName="Child6" refType="h" fact="0.3124"/>
              <dgm:constr type="l" for="ch" forName="Accent5" refType="w" fact="0.3571"/>
              <dgm:constr type="t" for="ch" forName="Accent5" refType="h" fact="-0.0109"/>
              <dgm:constr type="w" for="ch" forName="Accent5" refType="w" fact="0.1228"/>
              <dgm:constr type="h" for="ch" forName="Accent5" refType="h" fact="0.806"/>
              <dgm:constr type="l" for="ch" forName="ParentBackground5" refType="w" fact="0.378"/>
              <dgm:constr type="t" for="ch" forName="ParentBackground5" refType="h" fact="0.1262"/>
              <dgm:constr type="w" for="ch" forName="ParentBackground5" refType="w" fact="0.081"/>
              <dgm:constr type="h" for="ch" forName="ParentBackground5" refType="h" fact="0.5319"/>
              <dgm:constr type="l" for="ch" forName="Child5" refType="w" fact="0.378"/>
              <dgm:constr type="t" for="ch" forName="Child5" refType="h" fact="0.6876"/>
              <dgm:constr type="w" for="ch" forName="Child5" refType="w" fact="0.081"/>
              <dgm:constr type="h" for="ch" forName="Child5" refType="h" fact="0.3124"/>
              <dgm:constr type="l" for="ch" forName="Accent4" refType="w" fact="0.2674"/>
              <dgm:constr type="t" for="ch" forName="Accent4" refType="h" fact="-0.0109"/>
              <dgm:constr type="w" for="ch" forName="Accent4" refType="w" fact="0.1228"/>
              <dgm:constr type="h" for="ch" forName="Accent4" refType="h" fact="0.806"/>
              <dgm:constr type="l" for="ch" forName="ParentBackground4" refType="w" fact="0.2883"/>
              <dgm:constr type="t" for="ch" forName="ParentBackground4" refType="h" fact="0.1262"/>
              <dgm:constr type="w" for="ch" forName="ParentBackground4" refType="w" fact="0.081"/>
              <dgm:constr type="h" for="ch" forName="ParentBackground4" refType="h" fact="0.5319"/>
              <dgm:constr type="l" for="ch" forName="Child4" refType="w" fact="0.2883"/>
              <dgm:constr type="t" for="ch" forName="Child4" refType="h" fact="0.6876"/>
              <dgm:constr type="w" for="ch" forName="Child4" refType="w" fact="0.081"/>
              <dgm:constr type="h" for="ch" forName="Child4" refType="h" fact="0.3124"/>
              <dgm:constr type="l" for="ch" forName="Accent3" refType="w" fact="0.1777"/>
              <dgm:constr type="t" for="ch" forName="Accent3" refType="h" fact="-0.0109"/>
              <dgm:constr type="w" for="ch" forName="Accent3" refType="w" fact="0.1228"/>
              <dgm:constr type="h" for="ch" forName="Accent3" refType="h" fact="0.806"/>
              <dgm:constr type="l" for="ch" forName="ParentBackground3" refType="w" fact="0.1986"/>
              <dgm:constr type="t" for="ch" forName="ParentBackground3" refType="h" fact="0.1262"/>
              <dgm:constr type="w" for="ch" forName="ParentBackground3" refType="w" fact="0.081"/>
              <dgm:constr type="h" for="ch" forName="ParentBackground3" refType="h" fact="0.5319"/>
              <dgm:constr type="l" for="ch" forName="Child3" refType="w" fact="0.1986"/>
              <dgm:constr type="t" for="ch" forName="Child3" refType="h" fact="0.6876"/>
              <dgm:constr type="w" for="ch" forName="Child3" refType="w" fact="0.081"/>
              <dgm:constr type="h" for="ch" forName="Child3" refType="h" fact="0.3124"/>
              <dgm:constr type="l" for="ch" forName="Accent2" refType="w" fact="0.088"/>
              <dgm:constr type="t" for="ch" forName="Accent2" refType="h" fact="-0.0109"/>
              <dgm:constr type="w" for="ch" forName="Accent2" refType="w" fact="0.1228"/>
              <dgm:constr type="h" for="ch" forName="Accent2" refType="h" fact="0.806"/>
              <dgm:constr type="l" for="ch" forName="ParentBackground2" refType="w" fact="0.1089"/>
              <dgm:constr type="t" for="ch" forName="ParentBackground2" refType="h" fact="0.1262"/>
              <dgm:constr type="w" for="ch" forName="ParentBackground2" refType="w" fact="0.081"/>
              <dgm:constr type="h" for="ch" forName="ParentBackground2" refType="h" fact="0.5319"/>
              <dgm:constr type="l" for="ch" forName="Child2" refType="w" fact="0.1089"/>
              <dgm:constr type="t" for="ch" forName="Child2" refType="h" fact="0.6876"/>
              <dgm:constr type="w" for="ch" forName="Child2" refType="w" fact="0.081"/>
              <dgm:constr type="h" for="ch" forName="Child2" refType="h" fact="0.3124"/>
              <dgm:constr type="l" for="ch" forName="Accent1" refType="w" fact="-0.0017"/>
              <dgm:constr type="t" for="ch" forName="Accent1" refType="h" fact="-0.0109"/>
              <dgm:constr type="w" for="ch" forName="Accent1" refType="w" fact="0.1228"/>
              <dgm:constr type="h" for="ch" forName="Accent1" refType="h" fact="0.806"/>
              <dgm:constr type="l" for="ch" forName="ParentBackground1" refType="w" fact="0.0192"/>
              <dgm:constr type="t" for="ch" forName="ParentBackground1" refType="h" fact="0.1262"/>
              <dgm:constr type="w" for="ch" forName="ParentBackground1" refType="w" fact="0.081"/>
              <dgm:constr type="h" for="ch" forName="ParentBackground1" refType="h" fact="0.5319"/>
              <dgm:constr type="l" for="ch" forName="Child1" refType="w" fact="0.0192"/>
              <dgm:constr type="t" for="ch" forName="Child1" refType="h" fact="0.6876"/>
              <dgm:constr type="w" for="ch" forName="Child1" refType="w" fact="0.081"/>
              <dgm:constr type="h" for="ch" forName="Child1" refType="h" fact="0.3124"/>
            </dgm:constrLst>
          </dgm:else>
        </dgm:choose>
      </dgm:if>
      <dgm:else name="Name15">
        <dgm:choose name="Name16">
          <dgm:if name="Name17"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18"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r" for="ch" forName="Parent2" refType="w" fact="0.3751"/>
              <dgm:constr type="t" for="ch" forName="Parent2" refType="h" fact="0.2022"/>
              <dgm:constr type="w" for="ch" forName="Parent2" refType="w" fact="0.3001"/>
              <dgm:constr type="h" for="ch" forName="Parent2" refType="h" fact="0.3799"/>
              <dgm:constr type="r" for="ch" forName="Parent1" refType="w" fact="0.8403"/>
              <dgm:constr type="t" for="ch" forName="Parent1" refType="h" fact="0.2022"/>
              <dgm:constr type="w" for="ch" forName="Parent1" refType="w" fact="0.3001"/>
              <dgm:constr type="h" for="ch" forName="Parent1" refType="h" fact="0.3799"/>
              <dgm:constr type="r" for="ch" forName="Accent2" refType="w" fact="0.4502"/>
              <dgm:constr type="t" for="ch" forName="Accent2" refType="h" fact="0.1072"/>
              <dgm:constr type="w" for="ch" forName="Accent2" refType="w" fact="0.4502"/>
              <dgm:constr type="h" for="ch" forName="Accent2" refType="h" fact="0.5699"/>
              <dgm:constr type="r" for="ch" forName="ParentBackground2" refType="w" fact="0.4352"/>
              <dgm:constr type="t" for="ch" forName="ParentBackground2" refType="h" fact="0.1262"/>
              <dgm:constr type="w" for="ch" forName="ParentBackground2" refType="w" fact="0.4201"/>
              <dgm:constr type="h" for="ch" forName="ParentBackground2" refType="h" fact="0.5319"/>
              <dgm:constr type="r" for="ch" forName="Child2" refType="w" fact="0.4352"/>
              <dgm:constr type="t" for="ch" forName="Child2" refType="h" fact="0.6876"/>
              <dgm:constr type="w" for="ch" forName="Child2" refType="w" fact="0.4201"/>
              <dgm:constr type="h" for="ch" forName="Child2" refType="h" fact="0.3124"/>
              <dgm:constr type="r" for="ch" forName="Accent1" refType="w" fact="1.0086"/>
              <dgm:constr type="t" for="ch" forName="Accent1" refType="h" fact="-0.0109"/>
              <dgm:constr type="w" for="ch" forName="Accent1" refType="w" fact="0.6367"/>
              <dgm:constr type="h" for="ch" forName="Accent1" refType="h" fact="0.806"/>
              <dgm:constr type="r" for="ch" forName="ParentBackground1" refType="w" fact="0.9003"/>
              <dgm:constr type="t" for="ch" forName="ParentBackground1" refType="h" fact="0.1262"/>
              <dgm:constr type="w" for="ch" forName="ParentBackground1" refType="w" fact="0.4201"/>
              <dgm:constr type="h" for="ch" forName="ParentBackground1" refType="h" fact="0.5319"/>
              <dgm:constr type="r" for="ch" forName="Child1" refType="w" fact="0.9003"/>
              <dgm:constr type="t" for="ch" forName="Child1" refType="h" fact="0.6876"/>
              <dgm:constr type="w" for="ch" forName="Child1" refType="w" fact="0.4201"/>
              <dgm:constr type="h" for="ch" forName="Child1" refType="h" fact="0.3124"/>
            </dgm:constrLst>
          </dgm:if>
          <dgm:if name="Name19"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r" for="ch" forName="Parent3" refType="w" fact="0.256"/>
              <dgm:constr type="t" for="ch" forName="Parent3" refType="h" fact="0.2022"/>
              <dgm:constr type="w" for="ch" forName="Parent3" refType="w" fact="0.2048"/>
              <dgm:constr type="h" for="ch" forName="Parent3" refType="h" fact="0.3799"/>
              <dgm:constr type="r" for="ch" forName="Parent2" refType="w" fact="0.5735"/>
              <dgm:constr type="t" for="ch" forName="Parent2" refType="h" fact="0.2022"/>
              <dgm:constr type="w" for="ch" forName="Parent2" refType="w" fact="0.2048"/>
              <dgm:constr type="h" for="ch" forName="Parent2" refType="h" fact="0.3799"/>
              <dgm:constr type="r" for="ch" forName="Parent1" refType="w" fact="0.891"/>
              <dgm:constr type="t" for="ch" forName="Parent1" refType="h" fact="0.2022"/>
              <dgm:constr type="w" for="ch" forName="Parent1" refType="w" fact="0.2048"/>
              <dgm:constr type="h" for="ch" forName="Parent1" refType="h" fact="0.3799"/>
              <dgm:constr type="r" for="ch" forName="Accent3" refType="w" fact="0.3072"/>
              <dgm:constr type="t" for="ch" forName="Accent3" refType="h" fact="0.1072"/>
              <dgm:constr type="w" for="ch" forName="Accent3" refType="w" fact="0.3072"/>
              <dgm:constr type="h" for="ch" forName="Accent3" refType="h" fact="0.5699"/>
              <dgm:constr type="r" for="ch" forName="ParentBackground3" refType="w" fact="0.297"/>
              <dgm:constr type="t" for="ch" forName="ParentBackground3" refType="h" fact="0.1262"/>
              <dgm:constr type="w" for="ch" forName="ParentBackground3" refType="w" fact="0.2868"/>
              <dgm:constr type="h" for="ch" forName="ParentBackground3" refType="h" fact="0.5319"/>
              <dgm:constr type="r" for="ch" forName="Child3" refType="w" fact="0.297"/>
              <dgm:constr type="t" for="ch" forName="Child3" refType="h" fact="0.6876"/>
              <dgm:constr type="w" for="ch" forName="Child3" refType="w" fact="0.2868"/>
              <dgm:constr type="h" for="ch" forName="Child3" refType="h" fact="0.3124"/>
              <dgm:constr type="r" for="ch" forName="Accent2" refType="w" fact="0.6878"/>
              <dgm:constr type="t" for="ch" forName="Accent2" refType="h" fact="-0.0109"/>
              <dgm:constr type="w" for="ch" forName="Accent2" refType="w" fact="0.4334"/>
              <dgm:constr type="h" for="ch" forName="Accent2" refType="h" fact="0.806"/>
              <dgm:constr type="r" for="ch" forName="ParentBackground2" refType="w" fact="0.6145"/>
              <dgm:constr type="t" for="ch" forName="ParentBackground2" refType="h" fact="0.1262"/>
              <dgm:constr type="w" for="ch" forName="ParentBackground2" refType="w" fact="0.2868"/>
              <dgm:constr type="h" for="ch" forName="ParentBackground2" refType="h" fact="0.5319"/>
              <dgm:constr type="r" for="ch" forName="Child2" refType="w" fact="0.6145"/>
              <dgm:constr type="t" for="ch" forName="Child2" refType="h" fact="0.6876"/>
              <dgm:constr type="w" for="ch" forName="Child2" refType="w" fact="0.2868"/>
              <dgm:constr type="h" for="ch" forName="Child2" refType="h" fact="0.3124"/>
              <dgm:constr type="r" for="ch" forName="Accent1" refType="w" fact="1.0053"/>
              <dgm:constr type="t" for="ch" forName="Accent1" refType="h" fact="-0.0109"/>
              <dgm:constr type="w" for="ch" forName="Accent1" refType="w" fact="0.4334"/>
              <dgm:constr type="h" for="ch" forName="Accent1" refType="h" fact="0.806"/>
              <dgm:constr type="r" for="ch" forName="ParentBackground1" refType="w" fact="0.932"/>
              <dgm:constr type="t" for="ch" forName="ParentBackground1" refType="h" fact="0.1262"/>
              <dgm:constr type="w" for="ch" forName="ParentBackground1" refType="w" fact="0.2868"/>
              <dgm:constr type="h" for="ch" forName="ParentBackground1" refType="h" fact="0.5319"/>
              <dgm:constr type="r" for="ch" forName="Child1" refType="w" fact="0.932"/>
              <dgm:constr type="t" for="ch" forName="Child1" refType="h" fact="0.6876"/>
              <dgm:constr type="w" for="ch" forName="Child1" refType="w" fact="0.2868"/>
              <dgm:constr type="h" for="ch" forName="Child1" refType="h" fact="0.3124"/>
            </dgm:constrLst>
          </dgm:if>
          <dgm:if name="Name20"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Parent4" refType="w" fact="0.1943"/>
              <dgm:constr type="t" for="ch" forName="Parent4" refType="h" fact="0.2022"/>
              <dgm:constr type="w" for="ch" forName="Parent4" refType="w" fact="0.1555"/>
              <dgm:constr type="h" for="ch" forName="Parent4" refType="h" fact="0.3799"/>
              <dgm:constr type="r" for="ch" forName="Parent3" refType="w" fact="0.4353"/>
              <dgm:constr type="t" for="ch" forName="Parent3" refType="h" fact="0.2022"/>
              <dgm:constr type="w" for="ch" forName="Parent3" refType="w" fact="0.1555"/>
              <dgm:constr type="h" for="ch" forName="Parent3" refType="h" fact="0.3799"/>
              <dgm:constr type="r" for="ch" forName="Parent2" refType="w" fact="0.6763"/>
              <dgm:constr type="t" for="ch" forName="Parent2" refType="h" fact="0.2022"/>
              <dgm:constr type="w" for="ch" forName="Parent2" refType="w" fact="0.1555"/>
              <dgm:constr type="h" for="ch" forName="Parent2" refType="h" fact="0.3799"/>
              <dgm:constr type="r" for="ch" forName="Parent1" refType="w" fact="0.9173"/>
              <dgm:constr type="t" for="ch" forName="Parent1" refType="h" fact="0.2022"/>
              <dgm:constr type="w" for="ch" forName="Parent1" refType="w" fact="0.1555"/>
              <dgm:constr type="h" for="ch" forName="Parent1" refType="h" fact="0.3799"/>
              <dgm:constr type="r" for="ch" forName="Accent4" refType="w" fact="0.2332"/>
              <dgm:constr type="t" for="ch" forName="Accent4" refType="h" fact="0.1072"/>
              <dgm:constr type="w" for="ch" forName="Accent4" refType="w" fact="0.2332"/>
              <dgm:constr type="h" for="ch" forName="Accent4" refType="h" fact="0.5699"/>
              <dgm:constr type="r" for="ch" forName="ParentBackground4" refType="w" fact="0.2254"/>
              <dgm:constr type="t" for="ch" forName="ParentBackground4" refType="h" fact="0.1262"/>
              <dgm:constr type="w" for="ch" forName="ParentBackground4" refType="w" fact="0.2177"/>
              <dgm:constr type="h" for="ch" forName="ParentBackground4" refType="h" fact="0.5319"/>
              <dgm:constr type="r" for="ch" forName="Child4" refType="w" fact="0.2254"/>
              <dgm:constr type="t" for="ch" forName="Child4" refType="h" fact="0.6876"/>
              <dgm:constr type="w" for="ch" forName="Child4" refType="w" fact="0.2177"/>
              <dgm:constr type="h" for="ch" forName="Child4" refType="h" fact="0.3124"/>
              <dgm:constr type="r" for="ch" forName="Accent3" refType="w" fact="0.5235"/>
              <dgm:constr type="t" for="ch" forName="Accent3" refType="h" fact="-0.0109"/>
              <dgm:constr type="w" for="ch" forName="Accent3" refType="w" fact="0.3298"/>
              <dgm:constr type="h" for="ch" forName="Accent3" refType="h" fact="0.806"/>
              <dgm:constr type="r" for="ch" forName="ParentBackground3" refType="w" fact="0.4664"/>
              <dgm:constr type="t" for="ch" forName="ParentBackground3" refType="h" fact="0.1262"/>
              <dgm:constr type="w" for="ch" forName="ParentBackground3" refType="w" fact="0.2177"/>
              <dgm:constr type="h" for="ch" forName="ParentBackground3" refType="h" fact="0.5319"/>
              <dgm:constr type="r" for="ch" forName="Child3" refType="w" fact="0.4664"/>
              <dgm:constr type="t" for="ch" forName="Child3" refType="h" fact="0.6876"/>
              <dgm:constr type="w" for="ch" forName="Child3" refType="w" fact="0.2177"/>
              <dgm:constr type="h" for="ch" forName="Child3" refType="h" fact="0.3124"/>
              <dgm:constr type="r" for="ch" forName="Accent2" refType="w" fact="0.7635"/>
              <dgm:constr type="t" for="ch" forName="Accent2" refType="h" fact="-0.0109"/>
              <dgm:constr type="w" for="ch" forName="Accent2" refType="w" fact="0.3298"/>
              <dgm:constr type="h" for="ch" forName="Accent2" refType="h" fact="0.806"/>
              <dgm:constr type="r" for="ch" forName="ParentBackground2" refType="w" fact="0.7074"/>
              <dgm:constr type="t" for="ch" forName="ParentBackground2" refType="h" fact="0.1262"/>
              <dgm:constr type="w" for="ch" forName="ParentBackground2" refType="w" fact="0.2177"/>
              <dgm:constr type="h" for="ch" forName="ParentBackground2" refType="h" fact="0.5319"/>
              <dgm:constr type="r" for="ch" forName="Child2" refType="w" fact="0.7074"/>
              <dgm:constr type="t" for="ch" forName="Child2" refType="h" fact="0.6876"/>
              <dgm:constr type="w" for="ch" forName="Child2" refType="w" fact="0.2177"/>
              <dgm:constr type="h" for="ch" forName="Child2" refType="h" fact="0.3124"/>
              <dgm:constr type="r" for="ch" forName="Accent1" refType="w" fact="1.0045"/>
              <dgm:constr type="t" for="ch" forName="Accent1" refType="h" fact="-0.0109"/>
              <dgm:constr type="w" for="ch" forName="Accent1" refType="w" fact="0.3298"/>
              <dgm:constr type="h" for="ch" forName="Accent1" refType="h" fact="0.806"/>
              <dgm:constr type="r" for="ch" forName="ParentBackground1" refType="w" fact="0.9484"/>
              <dgm:constr type="t" for="ch" forName="ParentBackground1" refType="h" fact="0.1262"/>
              <dgm:constr type="w" for="ch" forName="ParentBackground1" refType="w" fact="0.2177"/>
              <dgm:constr type="h" for="ch" forName="ParentBackground1" refType="h" fact="0.5319"/>
              <dgm:constr type="r" for="ch" forName="Child1" refType="w" fact="0.9484"/>
              <dgm:constr type="t" for="ch" forName="Child1" refType="h" fact="0.6876"/>
              <dgm:constr type="w" for="ch" forName="Child1" refType="w" fact="0.2177"/>
              <dgm:constr type="h" for="ch" forName="Child1" refType="h" fact="0.3124"/>
            </dgm:constrLst>
          </dgm:if>
          <dgm:if name="Name21"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Parent5" refType="w" fact="0.1566"/>
              <dgm:constr type="t" for="ch" forName="Parent5" refType="h" fact="0.2022"/>
              <dgm:constr type="w" for="ch" forName="Parent5" refType="w" fact="0.1253"/>
              <dgm:constr type="h" for="ch" forName="Parent5" refType="h" fact="0.3799"/>
              <dgm:constr type="r" for="ch" forName="Parent4" refType="w" fact="0.3508"/>
              <dgm:constr type="t" for="ch" forName="Parent4" refType="h" fact="0.2022"/>
              <dgm:constr type="w" for="ch" forName="Parent4" refType="w" fact="0.1253"/>
              <dgm:constr type="h" for="ch" forName="Parent4" refType="h" fact="0.3799"/>
              <dgm:constr type="r" for="ch" forName="Parent3" refType="w" fact="0.545"/>
              <dgm:constr type="t" for="ch" forName="Parent3" refType="h" fact="0.2022"/>
              <dgm:constr type="w" for="ch" forName="Parent3" refType="w" fact="0.1253"/>
              <dgm:constr type="h" for="ch" forName="Parent3" refType="h" fact="0.3799"/>
              <dgm:constr type="r" for="ch" forName="Parent2" refType="w" fact="0.7391"/>
              <dgm:constr type="t" for="ch" forName="Parent2" refType="h" fact="0.2022"/>
              <dgm:constr type="w" for="ch" forName="Parent2" refType="w" fact="0.1253"/>
              <dgm:constr type="h" for="ch" forName="Parent2" refType="h" fact="0.3799"/>
              <dgm:constr type="r" for="ch" forName="Parent1" refType="w" fact="0.9333"/>
              <dgm:constr type="t" for="ch" forName="Parent1" refType="h" fact="0.2022"/>
              <dgm:constr type="w" for="ch" forName="Parent1" refType="w" fact="0.1253"/>
              <dgm:constr type="h" for="ch" forName="Parent1" refType="h" fact="0.3799"/>
              <dgm:constr type="r" for="ch" forName="Accent5" refType="w" fact="0.1879"/>
              <dgm:constr type="t" for="ch" forName="Accent5" refType="h" fact="0.1072"/>
              <dgm:constr type="w" for="ch" forName="Accent5" refType="w" fact="0.1879"/>
              <dgm:constr type="h" for="ch" forName="Accent5" refType="h" fact="0.5699"/>
              <dgm:constr type="r" for="ch" forName="ParentBackground5" refType="w" fact="0.1817"/>
              <dgm:constr type="t" for="ch" forName="ParentBackground5" refType="h" fact="0.1262"/>
              <dgm:constr type="w" for="ch" forName="ParentBackground5" refType="w" fact="0.1754"/>
              <dgm:constr type="h" for="ch" forName="ParentBackground5" refType="h" fact="0.5319"/>
              <dgm:constr type="r" for="ch" forName="Child5" refType="w" fact="0.1817"/>
              <dgm:constr type="t" for="ch" forName="Child5" refType="h" fact="0.6876"/>
              <dgm:constr type="w" for="ch" forName="Child5" refType="w" fact="0.1754"/>
              <dgm:constr type="h" for="ch" forName="Child5" refType="h" fact="0.3124"/>
              <dgm:constr type="r" for="ch" forName="Accent4" refType="w" fact="0.4211"/>
              <dgm:constr type="t" for="ch" forName="Accent4" refType="h" fact="-0.0109"/>
              <dgm:constr type="w" for="ch" forName="Accent4" refType="w" fact="0.2657"/>
              <dgm:constr type="h" for="ch" forName="Accent4" refType="h" fact="0.806"/>
              <dgm:constr type="r" for="ch" forName="ParentBackground4" refType="w" fact="0.3758"/>
              <dgm:constr type="t" for="ch" forName="ParentBackground4" refType="h" fact="0.1262"/>
              <dgm:constr type="w" for="ch" forName="ParentBackground4" refType="w" fact="0.1754"/>
              <dgm:constr type="h" for="ch" forName="ParentBackground4" refType="h" fact="0.5319"/>
              <dgm:constr type="r" for="ch" forName="Child4" refType="w" fact="0.3758"/>
              <dgm:constr type="t" for="ch" forName="Child4" refType="h" fact="0.6876"/>
              <dgm:constr type="w" for="ch" forName="Child4" refType="w" fact="0.1754"/>
              <dgm:constr type="h" for="ch" forName="Child4" refType="h" fact="0.3124"/>
              <dgm:constr type="r" for="ch" forName="Accent3" refType="w" fact="0.6152"/>
              <dgm:constr type="t" for="ch" forName="Accent3" refType="h" fact="-0.0109"/>
              <dgm:constr type="w" for="ch" forName="Accent3" refType="w" fact="0.2657"/>
              <dgm:constr type="h" for="ch" forName="Accent3" refType="h" fact="0.806"/>
              <dgm:constr type="r" for="ch" forName="ParentBackground3" refType="w" fact="0.57"/>
              <dgm:constr type="t" for="ch" forName="ParentBackground3" refType="h" fact="0.1262"/>
              <dgm:constr type="w" for="ch" forName="ParentBackground3" refType="w" fact="0.1754"/>
              <dgm:constr type="h" for="ch" forName="ParentBackground3" refType="h" fact="0.5319"/>
              <dgm:constr type="r" for="ch" forName="Child3" refType="w" fact="0.57"/>
              <dgm:constr type="t" for="ch" forName="Child3" refType="h" fact="0.6876"/>
              <dgm:constr type="w" for="ch" forName="Child3" refType="w" fact="0.1754"/>
              <dgm:constr type="h" for="ch" forName="Child3" refType="h" fact="0.3124"/>
              <dgm:constr type="r" for="ch" forName="Accent2" refType="w" fact="0.8094"/>
              <dgm:constr type="t" for="ch" forName="Accent2" refType="h" fact="-0.0109"/>
              <dgm:constr type="w" for="ch" forName="Accent2" refType="w" fact="0.2657"/>
              <dgm:constr type="h" for="ch" forName="Accent2" refType="h" fact="0.806"/>
              <dgm:constr type="r" for="ch" forName="ParentBackground2" refType="w" fact="0.7642"/>
              <dgm:constr type="t" for="ch" forName="ParentBackground2" refType="h" fact="0.1262"/>
              <dgm:constr type="w" for="ch" forName="ParentBackground2" refType="w" fact="0.1754"/>
              <dgm:constr type="h" for="ch" forName="ParentBackground2" refType="h" fact="0.5319"/>
              <dgm:constr type="r" for="ch" forName="Child2" refType="w" fact="0.7642"/>
              <dgm:constr type="t" for="ch" forName="Child2" refType="h" fact="0.6876"/>
              <dgm:constr type="w" for="ch" forName="Child2" refType="w" fact="0.1754"/>
              <dgm:constr type="h" for="ch" forName="Child2" refType="h" fact="0.3124"/>
              <dgm:constr type="r" for="ch" forName="Accent1" refType="w" fact="1.0036"/>
              <dgm:constr type="t" for="ch" forName="Accent1" refType="h" fact="-0.0109"/>
              <dgm:constr type="w" for="ch" forName="Accent1" refType="w" fact="0.2657"/>
              <dgm:constr type="h" for="ch" forName="Accent1" refType="h" fact="0.806"/>
              <dgm:constr type="r" for="ch" forName="ParentBackground1" refType="w" fact="0.9584"/>
              <dgm:constr type="t" for="ch" forName="ParentBackground1" refType="h" fact="0.1262"/>
              <dgm:constr type="w" for="ch" forName="ParentBackground1" refType="w" fact="0.1754"/>
              <dgm:constr type="h" for="ch" forName="ParentBackground1" refType="h" fact="0.5319"/>
              <dgm:constr type="r" for="ch" forName="Child1" refType="w" fact="0.9584"/>
              <dgm:constr type="t" for="ch" forName="Child1" refType="h" fact="0.6876"/>
              <dgm:constr type="w" for="ch" forName="Child1" refType="w" fact="0.1754"/>
              <dgm:constr type="h" for="ch" forName="Child1" refType="h" fact="0.3124"/>
            </dgm:constrLst>
          </dgm:if>
          <dgm:if name="Name22"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r" for="ch" forName="Parent6" refType="w" fact="0.1311"/>
              <dgm:constr type="t" for="ch" forName="Parent6" refType="h" fact="0.2022"/>
              <dgm:constr type="w" for="ch" forName="Parent6" refType="w" fact="0.1049"/>
              <dgm:constr type="h" for="ch" forName="Parent6" refType="h" fact="0.3799"/>
              <dgm:constr type="r" for="ch" forName="Parent5" refType="w" fact="0.2937"/>
              <dgm:constr type="t" for="ch" forName="Parent5" refType="h" fact="0.2022"/>
              <dgm:constr type="w" for="ch" forName="Parent5" refType="w" fact="0.1049"/>
              <dgm:constr type="h" for="ch" forName="Parent5" refType="h" fact="0.3799"/>
              <dgm:constr type="r" for="ch" forName="Parent4" refType="w" fact="0.4563"/>
              <dgm:constr type="t" for="ch" forName="Parent4" refType="h" fact="0.2022"/>
              <dgm:constr type="w" for="ch" forName="Parent4" refType="w" fact="0.1049"/>
              <dgm:constr type="h" for="ch" forName="Parent4" refType="h" fact="0.3799"/>
              <dgm:constr type="r" for="ch" forName="Parent3" refType="w" fact="0.619"/>
              <dgm:constr type="t" for="ch" forName="Parent3" refType="h" fact="0.2022"/>
              <dgm:constr type="w" for="ch" forName="Parent3" refType="w" fact="0.1049"/>
              <dgm:constr type="h" for="ch" forName="Parent3" refType="h" fact="0.3799"/>
              <dgm:constr type="r" for="ch" forName="Parent2" refType="w" fact="0.7816"/>
              <dgm:constr type="t" for="ch" forName="Parent2" refType="h" fact="0.2022"/>
              <dgm:constr type="w" for="ch" forName="Parent2" refType="w" fact="0.1049"/>
              <dgm:constr type="h" for="ch" forName="Parent2" refType="h" fact="0.3799"/>
              <dgm:constr type="r" for="ch" forName="Parent1" refType="w" fact="0.9442"/>
              <dgm:constr type="t" for="ch" forName="Parent1" refType="h" fact="0.2022"/>
              <dgm:constr type="w" for="ch" forName="Parent1" refType="w" fact="0.1049"/>
              <dgm:constr type="h" for="ch" forName="Parent1" refType="h" fact="0.3799"/>
              <dgm:constr type="r" for="ch" forName="Accent6" refType="w" fact="0.1574"/>
              <dgm:constr type="t" for="ch" forName="Accent6" refType="h" fact="0.1072"/>
              <dgm:constr type="w" for="ch" forName="Accent6" refType="w" fact="0.1574"/>
              <dgm:constr type="h" for="ch" forName="Accent6" refType="h" fact="0.5699"/>
              <dgm:constr type="r" for="ch" forName="ParentBackground6" refType="w" fact="0.1521"/>
              <dgm:constr type="t" for="ch" forName="ParentBackground6" refType="h" fact="0.1262"/>
              <dgm:constr type="w" for="ch" forName="ParentBackground6" refType="w" fact="0.1469"/>
              <dgm:constr type="h" for="ch" forName="ParentBackground6" refType="h" fact="0.5319"/>
              <dgm:constr type="r" for="ch" forName="Child6" refType="w" fact="0.1521"/>
              <dgm:constr type="t" for="ch" forName="Child6" refType="h" fact="0.6876"/>
              <dgm:constr type="w" for="ch" forName="Child6" refType="w" fact="0.1469"/>
              <dgm:constr type="h" for="ch" forName="Child6" refType="h" fact="0.3124"/>
              <dgm:constr type="r" for="ch" forName="Accent5" refType="w" fact="0.3526"/>
              <dgm:constr type="t" for="ch" forName="Accent5" refType="h" fact="-0.0109"/>
              <dgm:constr type="w" for="ch" forName="Accent5" refType="w" fact="0.2226"/>
              <dgm:constr type="h" for="ch" forName="Accent5" refType="h" fact="0.806"/>
              <dgm:constr type="r" for="ch" forName="ParentBackground5" refType="w" fact="0.3147"/>
              <dgm:constr type="t" for="ch" forName="ParentBackground5" refType="h" fact="0.1262"/>
              <dgm:constr type="w" for="ch" forName="ParentBackground5" refType="w" fact="0.1469"/>
              <dgm:constr type="h" for="ch" forName="ParentBackground5" refType="h" fact="0.5319"/>
              <dgm:constr type="r" for="ch" forName="Child5" refType="w" fact="0.3147"/>
              <dgm:constr type="t" for="ch" forName="Child5" refType="h" fact="0.6876"/>
              <dgm:constr type="w" for="ch" forName="Child5" refType="w" fact="0.1469"/>
              <dgm:constr type="h" for="ch" forName="Child5" refType="h" fact="0.3124"/>
              <dgm:constr type="r" for="ch" forName="Accent4" refType="w" fact="0.5152"/>
              <dgm:constr type="t" for="ch" forName="Accent4" refType="h" fact="-0.0109"/>
              <dgm:constr type="w" for="ch" forName="Accent4" refType="w" fact="0.2226"/>
              <dgm:constr type="h" for="ch" forName="Accent4" refType="h" fact="0.806"/>
              <dgm:constr type="r" for="ch" forName="ParentBackground4" refType="w" fact="0.4773"/>
              <dgm:constr type="t" for="ch" forName="ParentBackground4" refType="h" fact="0.1262"/>
              <dgm:constr type="w" for="ch" forName="ParentBackground4" refType="w" fact="0.1469"/>
              <dgm:constr type="h" for="ch" forName="ParentBackground4" refType="h" fact="0.5319"/>
              <dgm:constr type="r" for="ch" forName="Child4" refType="w" fact="0.4773"/>
              <dgm:constr type="t" for="ch" forName="Child4" refType="h" fact="0.6876"/>
              <dgm:constr type="w" for="ch" forName="Child4" refType="w" fact="0.1469"/>
              <dgm:constr type="h" for="ch" forName="Child4" refType="h" fact="0.3124"/>
              <dgm:constr type="r" for="ch" forName="Accent3" refType="w" fact="0.6778"/>
              <dgm:constr type="t" for="ch" forName="Accent3" refType="h" fact="-0.0109"/>
              <dgm:constr type="w" for="ch" forName="Accent3" refType="w" fact="0.2226"/>
              <dgm:constr type="h" for="ch" forName="Accent3" refType="h" fact="0.806"/>
              <dgm:constr type="r" for="ch" forName="ParentBackground3" refType="w" fact="0.6399"/>
              <dgm:constr type="t" for="ch" forName="ParentBackground3" refType="h" fact="0.1262"/>
              <dgm:constr type="w" for="ch" forName="ParentBackground3" refType="w" fact="0.1469"/>
              <dgm:constr type="h" for="ch" forName="ParentBackground3" refType="h" fact="0.5319"/>
              <dgm:constr type="r" for="ch" forName="Child3" refType="w" fact="0.6399"/>
              <dgm:constr type="t" for="ch" forName="Child3" refType="h" fact="0.6876"/>
              <dgm:constr type="w" for="ch" forName="Child3" refType="w" fact="0.1469"/>
              <dgm:constr type="h" for="ch" forName="Child3" refType="h" fact="0.3124"/>
              <dgm:constr type="r" for="ch" forName="Accent2" refType="w" fact="0.8404"/>
              <dgm:constr type="t" for="ch" forName="Accent2" refType="h" fact="-0.0109"/>
              <dgm:constr type="w" for="ch" forName="Accent2" refType="w" fact="0.2226"/>
              <dgm:constr type="h" for="ch" forName="Accent2" refType="h" fact="0.806"/>
              <dgm:constr type="r" for="ch" forName="ParentBackground2" refType="w" fact="0.8025"/>
              <dgm:constr type="t" for="ch" forName="ParentBackground2" refType="h" fact="0.1262"/>
              <dgm:constr type="w" for="ch" forName="ParentBackground2" refType="w" fact="0.1469"/>
              <dgm:constr type="h" for="ch" forName="ParentBackground2" refType="h" fact="0.5319"/>
              <dgm:constr type="r" for="ch" forName="Child2" refType="w" fact="0.8025"/>
              <dgm:constr type="t" for="ch" forName="Child2" refType="h" fact="0.6876"/>
              <dgm:constr type="w" for="ch" forName="Child2" refType="w" fact="0.1469"/>
              <dgm:constr type="h" for="ch" forName="Child2" refType="h" fact="0.3124"/>
              <dgm:constr type="r" for="ch" forName="Accent1" refType="w" fact="1.003"/>
              <dgm:constr type="t" for="ch" forName="Accent1" refType="h" fact="-0.0109"/>
              <dgm:constr type="w" for="ch" forName="Accent1" refType="w" fact="0.2226"/>
              <dgm:constr type="h" for="ch" forName="Accent1" refType="h" fact="0.806"/>
              <dgm:constr type="r" for="ch" forName="ParentBackground1" refType="w" fact="0.9652"/>
              <dgm:constr type="t" for="ch" forName="ParentBackground1" refType="h" fact="0.1262"/>
              <dgm:constr type="w" for="ch" forName="ParentBackground1" refType="w" fact="0.1469"/>
              <dgm:constr type="h" for="ch" forName="ParentBackground1" refType="h" fact="0.5319"/>
              <dgm:constr type="r" for="ch" forName="Child1" refType="w" fact="0.9652"/>
              <dgm:constr type="t" for="ch" forName="Child1" refType="h" fact="0.6876"/>
              <dgm:constr type="w" for="ch" forName="Child1" refType="w" fact="0.1469"/>
              <dgm:constr type="h" for="ch" forName="Child1" refType="h" fact="0.3124"/>
            </dgm:constrLst>
          </dgm:if>
          <dgm:if name="Name23"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r" for="ch" forName="Parent7" refType="w" fact="0.1128"/>
              <dgm:constr type="t" for="ch" forName="Parent7" refType="h" fact="0.2022"/>
              <dgm:constr type="w" for="ch" forName="Parent7" refType="w" fact="0.0902"/>
              <dgm:constr type="h" for="ch" forName="Parent7" refType="h" fact="0.3799"/>
              <dgm:constr type="r" for="ch" forName="Parent6" refType="w" fact="0.2527"/>
              <dgm:constr type="t" for="ch" forName="Parent6" refType="h" fact="0.2022"/>
              <dgm:constr type="w" for="ch" forName="Parent6" refType="w" fact="0.0902"/>
              <dgm:constr type="h" for="ch" forName="Parent6" refType="h" fact="0.3799"/>
              <dgm:constr type="r" for="ch" forName="Parent5" refType="w" fact="0.3925"/>
              <dgm:constr type="t" for="ch" forName="Parent5" refType="h" fact="0.2022"/>
              <dgm:constr type="w" for="ch" forName="Parent5" refType="w" fact="0.0902"/>
              <dgm:constr type="h" for="ch" forName="Parent5" refType="h" fact="0.3799"/>
              <dgm:constr type="r" for="ch" forName="Parent4" refType="w" fact="0.5324"/>
              <dgm:constr type="t" for="ch" forName="Parent4" refType="h" fact="0.2022"/>
              <dgm:constr type="w" for="ch" forName="Parent4" refType="w" fact="0.0902"/>
              <dgm:constr type="h" for="ch" forName="Parent4" refType="h" fact="0.3799"/>
              <dgm:constr type="r" for="ch" forName="Parent3" refType="w" fact="0.6723"/>
              <dgm:constr type="t" for="ch" forName="Parent3" refType="h" fact="0.2022"/>
              <dgm:constr type="w" for="ch" forName="Parent3" refType="w" fact="0.0902"/>
              <dgm:constr type="h" for="ch" forName="Parent3" refType="h" fact="0.3799"/>
              <dgm:constr type="r" for="ch" forName="Parent2" refType="w" fact="0.8121"/>
              <dgm:constr type="t" for="ch" forName="Parent2" refType="h" fact="0.2022"/>
              <dgm:constr type="w" for="ch" forName="Parent2" refType="w" fact="0.0902"/>
              <dgm:constr type="h" for="ch" forName="Parent2" refType="h" fact="0.3799"/>
              <dgm:constr type="r" for="ch" forName="Parent1" refType="w" fact="0.952"/>
              <dgm:constr type="t" for="ch" forName="Parent1" refType="h" fact="0.2022"/>
              <dgm:constr type="w" for="ch" forName="Parent1" refType="w" fact="0.0902"/>
              <dgm:constr type="h" for="ch" forName="Parent1" refType="h" fact="0.3799"/>
              <dgm:constr type="r" for="ch" forName="Accent7" refType="w" fact="0.1354"/>
              <dgm:constr type="t" for="ch" forName="Accent7" refType="h" fact="0.1072"/>
              <dgm:constr type="w" for="ch" forName="Accent7" refType="w" fact="0.1354"/>
              <dgm:constr type="h" for="ch" forName="Accent7" refType="h" fact="0.5699"/>
              <dgm:constr type="r" for="ch" forName="ParentBackground7" refType="w" fact="0.1308"/>
              <dgm:constr type="t" for="ch" forName="ParentBackground7" refType="h" fact="0.1262"/>
              <dgm:constr type="w" for="ch" forName="ParentBackground7" refType="w" fact="0.1263"/>
              <dgm:constr type="h" for="ch" forName="ParentBackground7" refType="h" fact="0.5319"/>
              <dgm:constr type="r" for="ch" forName="Child7" refType="w" fact="0.1308"/>
              <dgm:constr type="t" for="ch" forName="Child7" refType="h" fact="0.6876"/>
              <dgm:constr type="w" for="ch" forName="Child7" refType="w" fact="0.1263"/>
              <dgm:constr type="h" for="ch" forName="Child7" refType="h" fact="0.3124"/>
              <dgm:constr type="r" for="ch" forName="Accent6" refType="w" fact="0.3033"/>
              <dgm:constr type="t" for="ch" forName="Accent6" refType="h" fact="-0.0109"/>
              <dgm:constr type="w" for="ch" forName="Accent6" refType="w" fact="0.1915"/>
              <dgm:constr type="h" for="ch" forName="Accent6" refType="h" fact="0.806"/>
              <dgm:constr type="r" for="ch" forName="ParentBackground6" refType="w" fact="0.2707"/>
              <dgm:constr type="t" for="ch" forName="ParentBackground6" refType="h" fact="0.1262"/>
              <dgm:constr type="w" for="ch" forName="ParentBackground6" refType="w" fact="0.1263"/>
              <dgm:constr type="h" for="ch" forName="ParentBackground6" refType="h" fact="0.5319"/>
              <dgm:constr type="r" for="ch" forName="Child6" refType="w" fact="0.2707"/>
              <dgm:constr type="t" for="ch" forName="Child6" refType="h" fact="0.6876"/>
              <dgm:constr type="w" for="ch" forName="Child6" refType="w" fact="0.1263"/>
              <dgm:constr type="h" for="ch" forName="Child6" refType="h" fact="0.3124"/>
              <dgm:constr type="r" for="ch" forName="Accent5" refType="w" fact="0.4431"/>
              <dgm:constr type="t" for="ch" forName="Accent5" refType="h" fact="-0.0109"/>
              <dgm:constr type="w" for="ch" forName="Accent5" refType="w" fact="0.1915"/>
              <dgm:constr type="h" for="ch" forName="Accent5" refType="h" fact="0.806"/>
              <dgm:constr type="r" for="ch" forName="ParentBackground5" refType="w" fact="0.4106"/>
              <dgm:constr type="t" for="ch" forName="ParentBackground5" refType="h" fact="0.1262"/>
              <dgm:constr type="w" for="ch" forName="ParentBackground5" refType="w" fact="0.1263"/>
              <dgm:constr type="h" for="ch" forName="ParentBackground5" refType="h" fact="0.5319"/>
              <dgm:constr type="r" for="ch" forName="Child5" refType="w" fact="0.4106"/>
              <dgm:constr type="t" for="ch" forName="Child5" refType="h" fact="0.6876"/>
              <dgm:constr type="w" for="ch" forName="Child5" refType="w" fact="0.1263"/>
              <dgm:constr type="h" for="ch" forName="Child5" refType="h" fact="0.3124"/>
              <dgm:constr type="r" for="ch" forName="Accent4" refType="w" fact="0.583"/>
              <dgm:constr type="t" for="ch" forName="Accent4" refType="h" fact="-0.0109"/>
              <dgm:constr type="w" for="ch" forName="Accent4" refType="w" fact="0.1915"/>
              <dgm:constr type="h" for="ch" forName="Accent4" refType="h" fact="0.806"/>
              <dgm:constr type="r" for="ch" forName="ParentBackground4" refType="w" fact="0.5504"/>
              <dgm:constr type="t" for="ch" forName="ParentBackground4" refType="h" fact="0.1262"/>
              <dgm:constr type="w" for="ch" forName="ParentBackground4" refType="w" fact="0.1263"/>
              <dgm:constr type="h" for="ch" forName="ParentBackground4" refType="h" fact="0.5319"/>
              <dgm:constr type="r" for="ch" forName="Child4" refType="w" fact="0.5504"/>
              <dgm:constr type="t" for="ch" forName="Child4" refType="h" fact="0.6876"/>
              <dgm:constr type="w" for="ch" forName="Child4" refType="w" fact="0.1263"/>
              <dgm:constr type="h" for="ch" forName="Child4" refType="h" fact="0.3124"/>
              <dgm:constr type="r" for="ch" forName="Accent3" refType="w" fact="0.7229"/>
              <dgm:constr type="t" for="ch" forName="Accent3" refType="h" fact="-0.0109"/>
              <dgm:constr type="w" for="ch" forName="Accent3" refType="w" fact="0.1915"/>
              <dgm:constr type="h" for="ch" forName="Accent3" refType="h" fact="0.806"/>
              <dgm:constr type="r" for="ch" forName="ParentBackground3" refType="w" fact="0.6903"/>
              <dgm:constr type="t" for="ch" forName="ParentBackground3" refType="h" fact="0.1262"/>
              <dgm:constr type="w" for="ch" forName="ParentBackground3" refType="w" fact="0.1263"/>
              <dgm:constr type="h" for="ch" forName="ParentBackground3" refType="h" fact="0.5319"/>
              <dgm:constr type="r" for="ch" forName="Child3" refType="w" fact="0.6903"/>
              <dgm:constr type="t" for="ch" forName="Child3" refType="h" fact="0.6876"/>
              <dgm:constr type="w" for="ch" forName="Child3" refType="w" fact="0.1263"/>
              <dgm:constr type="h" for="ch" forName="Child3" refType="h" fact="0.3124"/>
              <dgm:constr type="r" for="ch" forName="Accent2" refType="w" fact="0.8627"/>
              <dgm:constr type="t" for="ch" forName="Accent2" refType="h" fact="-0.0109"/>
              <dgm:constr type="w" for="ch" forName="Accent2" refType="w" fact="0.1915"/>
              <dgm:constr type="h" for="ch" forName="Accent2" refType="h" fact="0.806"/>
              <dgm:constr type="r" for="ch" forName="ParentBackground2" refType="w" fact="0.8302"/>
              <dgm:constr type="t" for="ch" forName="ParentBackground2" refType="h" fact="0.1262"/>
              <dgm:constr type="w" for="ch" forName="ParentBackground2" refType="w" fact="0.1263"/>
              <dgm:constr type="h" for="ch" forName="ParentBackground2" refType="h" fact="0.5319"/>
              <dgm:constr type="r" for="ch" forName="Child2" refType="w" fact="0.8302"/>
              <dgm:constr type="t" for="ch" forName="Child2" refType="h" fact="0.6876"/>
              <dgm:constr type="w" for="ch" forName="Child2" refType="w" fact="0.1263"/>
              <dgm:constr type="h" for="ch" forName="Child2" refType="h" fact="0.3124"/>
              <dgm:constr type="r" for="ch" forName="Accent1" refType="w" fact="1.0026"/>
              <dgm:constr type="t" for="ch" forName="Accent1" refType="h" fact="-0.0109"/>
              <dgm:constr type="w" for="ch" forName="Accent1" refType="w" fact="0.1915"/>
              <dgm:constr type="h" for="ch" forName="Accent1" refType="h" fact="0.806"/>
              <dgm:constr type="r" for="ch" forName="ParentBackground1" refType="w" fact="0.97"/>
              <dgm:constr type="t" for="ch" forName="ParentBackground1" refType="h" fact="0.1262"/>
              <dgm:constr type="w" for="ch" forName="ParentBackground1" refType="w" fact="0.1263"/>
              <dgm:constr type="h" for="ch" forName="ParentBackground1" refType="h" fact="0.5319"/>
              <dgm:constr type="r" for="ch" forName="Child1" refType="w" fact="0.97"/>
              <dgm:constr type="t" for="ch" forName="Child1" refType="h" fact="0.6876"/>
              <dgm:constr type="w" for="ch" forName="Child1" refType="w" fact="0.1263"/>
              <dgm:constr type="h" for="ch" forName="Child1" refType="h" fact="0.3124"/>
            </dgm:constrLst>
          </dgm:if>
          <dgm:if name="Name24"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r" for="ch" forName="Parent8" refType="w" fact="0.099"/>
              <dgm:constr type="t" for="ch" forName="Parent8" refType="h" fact="0.2022"/>
              <dgm:constr type="w" for="ch" forName="Parent8" refType="w" fact="0.0792"/>
              <dgm:constr type="h" for="ch" forName="Parent8" refType="h" fact="0.3799"/>
              <dgm:constr type="r" for="ch" forName="Parent7" refType="w" fact="0.2217"/>
              <dgm:constr type="t" for="ch" forName="Parent7" refType="h" fact="0.2022"/>
              <dgm:constr type="w" for="ch" forName="Parent7" refType="w" fact="0.0792"/>
              <dgm:constr type="h" for="ch" forName="Parent7" refType="h" fact="0.3799"/>
              <dgm:constr type="r" for="ch" forName="Parent6" refType="w" fact="0.3444"/>
              <dgm:constr type="t" for="ch" forName="Parent6" refType="h" fact="0.2022"/>
              <dgm:constr type="w" for="ch" forName="Parent6" refType="w" fact="0.0792"/>
              <dgm:constr type="h" for="ch" forName="Parent6" refType="h" fact="0.3799"/>
              <dgm:constr type="r" for="ch" forName="Parent5" refType="w" fact="0.4671"/>
              <dgm:constr type="t" for="ch" forName="Parent5" refType="h" fact="0.2022"/>
              <dgm:constr type="w" for="ch" forName="Parent5" refType="w" fact="0.0792"/>
              <dgm:constr type="h" for="ch" forName="Parent5" refType="h" fact="0.3799"/>
              <dgm:constr type="r" for="ch" forName="Parent4" refType="w" fact="0.5898"/>
              <dgm:constr type="t" for="ch" forName="Parent4" refType="h" fact="0.2022"/>
              <dgm:constr type="w" for="ch" forName="Parent4" refType="w" fact="0.0792"/>
              <dgm:constr type="h" for="ch" forName="Parent4" refType="h" fact="0.3799"/>
              <dgm:constr type="r" for="ch" forName="Parent3" refType="w" fact="0.7125"/>
              <dgm:constr type="t" for="ch" forName="Parent3" refType="h" fact="0.2022"/>
              <dgm:constr type="w" for="ch" forName="Parent3" refType="w" fact="0.0792"/>
              <dgm:constr type="h" for="ch" forName="Parent3" refType="h" fact="0.3799"/>
              <dgm:constr type="r" for="ch" forName="Parent2" refType="w" fact="0.8352"/>
              <dgm:constr type="t" for="ch" forName="Parent2" refType="h" fact="0.2022"/>
              <dgm:constr type="w" for="ch" forName="Parent2" refType="w" fact="0.0792"/>
              <dgm:constr type="h" for="ch" forName="Parent2" refType="h" fact="0.3799"/>
              <dgm:constr type="r" for="ch" forName="Parent1" refType="w" fact="0.9579"/>
              <dgm:constr type="t" for="ch" forName="Parent1" refType="h" fact="0.2022"/>
              <dgm:constr type="w" for="ch" forName="Parent1" refType="w" fact="0.0792"/>
              <dgm:constr type="h" for="ch" forName="Parent1" refType="h" fact="0.3799"/>
              <dgm:constr type="r" for="ch" forName="Accent8" refType="w" fact="0.1187"/>
              <dgm:constr type="t" for="ch" forName="Accent8" refType="h" fact="0.1072"/>
              <dgm:constr type="w" for="ch" forName="Accent8" refType="w" fact="0.1187"/>
              <dgm:constr type="h" for="ch" forName="Accent8" refType="h" fact="0.5699"/>
              <dgm:constr type="r" for="ch" forName="ParentBackground8" refType="w" fact="0.1148"/>
              <dgm:constr type="t" for="ch" forName="ParentBackground8" refType="h" fact="0.1262"/>
              <dgm:constr type="w" for="ch" forName="ParentBackground8" refType="w" fact="0.1108"/>
              <dgm:constr type="h" for="ch" forName="ParentBackground8" refType="h" fact="0.5319"/>
              <dgm:constr type="r" for="ch" forName="Child8" refType="w" fact="0.1148"/>
              <dgm:constr type="t" for="ch" forName="Child8" refType="h" fact="0.6876"/>
              <dgm:constr type="w" for="ch" forName="Child8" refType="w" fact="0.1108"/>
              <dgm:constr type="h" for="ch" forName="Child8" refType="h" fact="0.3124"/>
              <dgm:constr type="r" for="ch" forName="Accent7" refType="w" fact="0.2661"/>
              <dgm:constr type="t" for="ch" forName="Accent7" refType="h" fact="-0.0109"/>
              <dgm:constr type="w" for="ch" forName="Accent7" refType="w" fact="0.1679"/>
              <dgm:constr type="h" for="ch" forName="Accent7" refType="h" fact="0.806"/>
              <dgm:constr type="r" for="ch" forName="ParentBackground7" refType="w" fact="0.2375"/>
              <dgm:constr type="t" for="ch" forName="ParentBackground7" refType="h" fact="0.1262"/>
              <dgm:constr type="w" for="ch" forName="ParentBackground7" refType="w" fact="0.1108"/>
              <dgm:constr type="h" for="ch" forName="ParentBackground7" refType="h" fact="0.5319"/>
              <dgm:constr type="r" for="ch" forName="Child7" refType="w" fact="0.2375"/>
              <dgm:constr type="t" for="ch" forName="Child7" refType="h" fact="0.6876"/>
              <dgm:constr type="w" for="ch" forName="Child7" refType="w" fact="0.1108"/>
              <dgm:constr type="h" for="ch" forName="Child7" refType="h" fact="0.3124"/>
              <dgm:constr type="r" for="ch" forName="Accent6" refType="w" fact="0.3888"/>
              <dgm:constr type="t" for="ch" forName="Accent6" refType="h" fact="-0.0109"/>
              <dgm:constr type="w" for="ch" forName="Accent6" refType="w" fact="0.1679"/>
              <dgm:constr type="h" for="ch" forName="Accent6" refType="h" fact="0.806"/>
              <dgm:constr type="r" for="ch" forName="ParentBackground6" refType="w" fact="0.3602"/>
              <dgm:constr type="t" for="ch" forName="ParentBackground6" refType="h" fact="0.1262"/>
              <dgm:constr type="w" for="ch" forName="ParentBackground6" refType="w" fact="0.1108"/>
              <dgm:constr type="h" for="ch" forName="ParentBackground6" refType="h" fact="0.5319"/>
              <dgm:constr type="r" for="ch" forName="Child6" refType="w" fact="0.3602"/>
              <dgm:constr type="t" for="ch" forName="Child6" refType="h" fact="0.6876"/>
              <dgm:constr type="w" for="ch" forName="Child6" refType="w" fact="0.1108"/>
              <dgm:constr type="h" for="ch" forName="Child6" refType="h" fact="0.3124"/>
              <dgm:constr type="r" for="ch" forName="Accent5" refType="w" fact="0.5115"/>
              <dgm:constr type="t" for="ch" forName="Accent5" refType="h" fact="-0.0109"/>
              <dgm:constr type="w" for="ch" forName="Accent5" refType="w" fact="0.1679"/>
              <dgm:constr type="h" for="ch" forName="Accent5" refType="h" fact="0.806"/>
              <dgm:constr type="r" for="ch" forName="ParentBackground5" refType="w" fact="0.4829"/>
              <dgm:constr type="t" for="ch" forName="ParentBackground5" refType="h" fact="0.1262"/>
              <dgm:constr type="w" for="ch" forName="ParentBackground5" refType="w" fact="0.1108"/>
              <dgm:constr type="h" for="ch" forName="ParentBackground5" refType="h" fact="0.5319"/>
              <dgm:constr type="r" for="ch" forName="Child5" refType="w" fact="0.4829"/>
              <dgm:constr type="t" for="ch" forName="Child5" refType="h" fact="0.6876"/>
              <dgm:constr type="w" for="ch" forName="Child5" refType="w" fact="0.1108"/>
              <dgm:constr type="h" for="ch" forName="Child5" refType="h" fact="0.3124"/>
              <dgm:constr type="r" for="ch" forName="Accent4" refType="w" fact="0.6342"/>
              <dgm:constr type="t" for="ch" forName="Accent4" refType="h" fact="-0.0109"/>
              <dgm:constr type="w" for="ch" forName="Accent4" refType="w" fact="0.1679"/>
              <dgm:constr type="h" for="ch" forName="Accent4" refType="h" fact="0.806"/>
              <dgm:constr type="r" for="ch" forName="ParentBackground4" refType="w" fact="0.6056"/>
              <dgm:constr type="t" for="ch" forName="ParentBackground4" refType="h" fact="0.1262"/>
              <dgm:constr type="w" for="ch" forName="ParentBackground4" refType="w" fact="0.1108"/>
              <dgm:constr type="h" for="ch" forName="ParentBackground4" refType="h" fact="0.5319"/>
              <dgm:constr type="r" for="ch" forName="Child4" refType="w" fact="0.6056"/>
              <dgm:constr type="t" for="ch" forName="Child4" refType="h" fact="0.6876"/>
              <dgm:constr type="w" for="ch" forName="Child4" refType="w" fact="0.1108"/>
              <dgm:constr type="h" for="ch" forName="Child4" refType="h" fact="0.3124"/>
              <dgm:constr type="r" for="ch" forName="Accent3" refType="w" fact="0.7569"/>
              <dgm:constr type="t" for="ch" forName="Accent3" refType="h" fact="-0.0109"/>
              <dgm:constr type="w" for="ch" forName="Accent3" refType="w" fact="0.1679"/>
              <dgm:constr type="h" for="ch" forName="Accent3" refType="h" fact="0.806"/>
              <dgm:constr type="r" for="ch" forName="ParentBackground3" refType="w" fact="0.7283"/>
              <dgm:constr type="t" for="ch" forName="ParentBackground3" refType="h" fact="0.1262"/>
              <dgm:constr type="w" for="ch" forName="ParentBackground3" refType="w" fact="0.1108"/>
              <dgm:constr type="h" for="ch" forName="ParentBackground3" refType="h" fact="0.5319"/>
              <dgm:constr type="r" for="ch" forName="Child3" refType="w" fact="0.7283"/>
              <dgm:constr type="t" for="ch" forName="Child3" refType="h" fact="0.6876"/>
              <dgm:constr type="w" for="ch" forName="Child3" refType="w" fact="0.1108"/>
              <dgm:constr type="h" for="ch" forName="Child3" refType="h" fact="0.3124"/>
              <dgm:constr type="r" for="ch" forName="Accent2" refType="w" fact="0.8796"/>
              <dgm:constr type="t" for="ch" forName="Accent2" refType="h" fact="-0.0109"/>
              <dgm:constr type="w" for="ch" forName="Accent2" refType="w" fact="0.1679"/>
              <dgm:constr type="h" for="ch" forName="Accent2" refType="h" fact="0.806"/>
              <dgm:constr type="r" for="ch" forName="ParentBackground2" refType="w" fact="0.851"/>
              <dgm:constr type="t" for="ch" forName="ParentBackground2" refType="h" fact="0.1262"/>
              <dgm:constr type="w" for="ch" forName="ParentBackground2" refType="w" fact="0.1108"/>
              <dgm:constr type="h" for="ch" forName="ParentBackground2" refType="h" fact="0.5319"/>
              <dgm:constr type="r" for="ch" forName="Child2" refType="w" fact="0.851"/>
              <dgm:constr type="t" for="ch" forName="Child2" refType="h" fact="0.6876"/>
              <dgm:constr type="w" for="ch" forName="Child2" refType="w" fact="0.1108"/>
              <dgm:constr type="h" for="ch" forName="Child2" refType="h" fact="0.3124"/>
              <dgm:constr type="r" for="ch" forName="Accent1" refType="w" fact="1.0023"/>
              <dgm:constr type="t" for="ch" forName="Accent1" refType="h" fact="-0.0109"/>
              <dgm:constr type="w" for="ch" forName="Accent1" refType="w" fact="0.1679"/>
              <dgm:constr type="h" for="ch" forName="Accent1" refType="h" fact="0.806"/>
              <dgm:constr type="r" for="ch" forName="ParentBackground1" refType="w" fact="0.9737"/>
              <dgm:constr type="t" for="ch" forName="ParentBackground1" refType="h" fact="0.1262"/>
              <dgm:constr type="w" for="ch" forName="ParentBackground1" refType="w" fact="0.1108"/>
              <dgm:constr type="h" for="ch" forName="ParentBackground1" refType="h" fact="0.5319"/>
              <dgm:constr type="r" for="ch" forName="Child1" refType="w" fact="0.9737"/>
              <dgm:constr type="t" for="ch" forName="Child1" refType="h" fact="0.6876"/>
              <dgm:constr type="w" for="ch" forName="Child1" refType="w" fact="0.1108"/>
              <dgm:constr type="h" for="ch" forName="Child1" refType="h" fact="0.3124"/>
            </dgm:constrLst>
          </dgm:if>
          <dgm:if name="Name25"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r" for="ch" forName="Parent9" refType="w" fact="0.0881"/>
              <dgm:constr type="t" for="ch" forName="Parent9" refType="h" fact="0.2022"/>
              <dgm:constr type="w" for="ch" forName="Parent9" refType="w" fact="0.0705"/>
              <dgm:constr type="h" for="ch" forName="Parent9" refType="h" fact="0.3799"/>
              <dgm:constr type="r" for="ch" forName="Parent8" refType="w" fact="0.1974"/>
              <dgm:constr type="t" for="ch" forName="Parent8" refType="h" fact="0.2022"/>
              <dgm:constr type="w" for="ch" forName="Parent8" refType="w" fact="0.0705"/>
              <dgm:constr type="h" for="ch" forName="Parent8" refType="h" fact="0.3799"/>
              <dgm:constr type="r" for="ch" forName="Parent7" refType="w" fact="0.3067"/>
              <dgm:constr type="t" for="ch" forName="Parent7" refType="h" fact="0.2022"/>
              <dgm:constr type="w" for="ch" forName="Parent7" refType="w" fact="0.0705"/>
              <dgm:constr type="h" for="ch" forName="Parent7" refType="h" fact="0.3799"/>
              <dgm:constr type="r" for="ch" forName="Parent6" refType="w" fact="0.416"/>
              <dgm:constr type="t" for="ch" forName="Parent6" refType="h" fact="0.2022"/>
              <dgm:constr type="w" for="ch" forName="Parent6" refType="w" fact="0.0705"/>
              <dgm:constr type="h" for="ch" forName="Parent6" refType="h" fact="0.3799"/>
              <dgm:constr type="r" for="ch" forName="Parent5" refType="w" fact="0.5253"/>
              <dgm:constr type="t" for="ch" forName="Parent5" refType="h" fact="0.2022"/>
              <dgm:constr type="w" for="ch" forName="Parent5" refType="w" fact="0.0705"/>
              <dgm:constr type="h" for="ch" forName="Parent5" refType="h" fact="0.3799"/>
              <dgm:constr type="r" for="ch" forName="Parent4" refType="w" fact="0.6346"/>
              <dgm:constr type="t" for="ch" forName="Parent4" refType="h" fact="0.2022"/>
              <dgm:constr type="w" for="ch" forName="Parent4" refType="w" fact="0.0705"/>
              <dgm:constr type="h" for="ch" forName="Parent4" refType="h" fact="0.3799"/>
              <dgm:constr type="r" for="ch" forName="Parent3" refType="w" fact="0.7439"/>
              <dgm:constr type="t" for="ch" forName="Parent3" refType="h" fact="0.2022"/>
              <dgm:constr type="w" for="ch" forName="Parent3" refType="w" fact="0.0705"/>
              <dgm:constr type="h" for="ch" forName="Parent3" refType="h" fact="0.3799"/>
              <dgm:constr type="r" for="ch" forName="Parent2" refType="w" fact="0.8532"/>
              <dgm:constr type="t" for="ch" forName="Parent2" refType="h" fact="0.2022"/>
              <dgm:constr type="w" for="ch" forName="Parent2" refType="w" fact="0.0705"/>
              <dgm:constr type="h" for="ch" forName="Parent2" refType="h" fact="0.3799"/>
              <dgm:constr type="r" for="ch" forName="Parent1" refType="w" fact="0.9625"/>
              <dgm:constr type="t" for="ch" forName="Parent1" refType="h" fact="0.2022"/>
              <dgm:constr type="w" for="ch" forName="Parent1" refType="w" fact="0.0705"/>
              <dgm:constr type="h" for="ch" forName="Parent1" refType="h" fact="0.3799"/>
              <dgm:constr type="r" for="ch" forName="Accent9" refType="w" fact="0.1058"/>
              <dgm:constr type="t" for="ch" forName="Accent9" refType="h" fact="0.1072"/>
              <dgm:constr type="w" for="ch" forName="Accent9" refType="w" fact="0.1058"/>
              <dgm:constr type="h" for="ch" forName="Accent9" refType="h" fact="0.5699"/>
              <dgm:constr type="r" for="ch" forName="ParentBackground9" refType="w" fact="0.1022"/>
              <dgm:constr type="t" for="ch" forName="ParentBackground9" refType="h" fact="0.1262"/>
              <dgm:constr type="w" for="ch" forName="ParentBackground9" refType="w" fact="0.0987"/>
              <dgm:constr type="h" for="ch" forName="ParentBackground9" refType="h" fact="0.5319"/>
              <dgm:constr type="r" for="ch" forName="Child9" refType="w" fact="0.1022"/>
              <dgm:constr type="t" for="ch" forName="Child9" refType="h" fact="0.6876"/>
              <dgm:constr type="w" for="ch" forName="Child9" refType="w" fact="0.0987"/>
              <dgm:constr type="h" for="ch" forName="Child9" refType="h" fact="0.3124"/>
              <dgm:constr type="r" for="ch" forName="Accent8" refType="w" fact="0.237"/>
              <dgm:constr type="t" for="ch" forName="Accent8" refType="h" fact="-0.0109"/>
              <dgm:constr type="w" for="ch" forName="Accent8" refType="w" fact="0.1496"/>
              <dgm:constr type="h" for="ch" forName="Accent8" refType="h" fact="0.806"/>
              <dgm:constr type="r" for="ch" forName="ParentBackground8" refType="w" fact="0.2115"/>
              <dgm:constr type="t" for="ch" forName="ParentBackground8" refType="h" fact="0.1262"/>
              <dgm:constr type="w" for="ch" forName="ParentBackground8" refType="w" fact="0.0987"/>
              <dgm:constr type="h" for="ch" forName="ParentBackground8" refType="h" fact="0.5319"/>
              <dgm:constr type="r" for="ch" forName="Child8" refType="w" fact="0.2115"/>
              <dgm:constr type="t" for="ch" forName="Child8" refType="h" fact="0.6876"/>
              <dgm:constr type="w" for="ch" forName="Child8" refType="w" fact="0.0987"/>
              <dgm:constr type="h" for="ch" forName="Child8" refType="h" fact="0.3124"/>
              <dgm:constr type="r" for="ch" forName="Accent7" refType="w" fact="0.3462"/>
              <dgm:constr type="t" for="ch" forName="Accent7" refType="h" fact="-0.0109"/>
              <dgm:constr type="w" for="ch" forName="Accent7" refType="w" fact="0.1496"/>
              <dgm:constr type="h" for="ch" forName="Accent7" refType="h" fact="0.806"/>
              <dgm:constr type="r" for="ch" forName="ParentBackground7" refType="w" fact="0.3208"/>
              <dgm:constr type="t" for="ch" forName="ParentBackground7" refType="h" fact="0.1262"/>
              <dgm:constr type="w" for="ch" forName="ParentBackground7" refType="w" fact="0.0987"/>
              <dgm:constr type="h" for="ch" forName="ParentBackground7" refType="h" fact="0.5319"/>
              <dgm:constr type="r" for="ch" forName="Child7" refType="w" fact="0.3208"/>
              <dgm:constr type="t" for="ch" forName="Child7" refType="h" fact="0.6876"/>
              <dgm:constr type="w" for="ch" forName="Child7" refType="w" fact="0.0987"/>
              <dgm:constr type="h" for="ch" forName="Child7" refType="h" fact="0.3124"/>
              <dgm:constr type="r" for="ch" forName="Accent6" refType="w" fact="0.4555"/>
              <dgm:constr type="t" for="ch" forName="Accent6" refType="h" fact="-0.0109"/>
              <dgm:constr type="w" for="ch" forName="Accent6" refType="w" fact="0.1496"/>
              <dgm:constr type="h" for="ch" forName="Accent6" refType="h" fact="0.806"/>
              <dgm:constr type="r" for="ch" forName="ParentBackground6" refType="w" fact="0.4301"/>
              <dgm:constr type="t" for="ch" forName="ParentBackground6" refType="h" fact="0.1262"/>
              <dgm:constr type="w" for="ch" forName="ParentBackground6" refType="w" fact="0.0987"/>
              <dgm:constr type="h" for="ch" forName="ParentBackground6" refType="h" fact="0.5319"/>
              <dgm:constr type="r" for="ch" forName="Child6" refType="w" fact="0.4301"/>
              <dgm:constr type="t" for="ch" forName="Child6" refType="h" fact="0.6876"/>
              <dgm:constr type="w" for="ch" forName="Child6" refType="w" fact="0.0987"/>
              <dgm:constr type="h" for="ch" forName="Child6" refType="h" fact="0.3124"/>
              <dgm:constr type="r" for="ch" forName="Accent5" refType="w" fact="0.5648"/>
              <dgm:constr type="t" for="ch" forName="Accent5" refType="h" fact="-0.0109"/>
              <dgm:constr type="w" for="ch" forName="Accent5" refType="w" fact="0.1496"/>
              <dgm:constr type="h" for="ch" forName="Accent5" refType="h" fact="0.806"/>
              <dgm:constr type="r" for="ch" forName="ParentBackground5" refType="w" fact="0.5394"/>
              <dgm:constr type="t" for="ch" forName="ParentBackground5" refType="h" fact="0.1262"/>
              <dgm:constr type="w" for="ch" forName="ParentBackground5" refType="w" fact="0.0987"/>
              <dgm:constr type="h" for="ch" forName="ParentBackground5" refType="h" fact="0.5319"/>
              <dgm:constr type="r" for="ch" forName="Child5" refType="w" fact="0.5394"/>
              <dgm:constr type="t" for="ch" forName="Child5" refType="h" fact="0.6876"/>
              <dgm:constr type="w" for="ch" forName="Child5" refType="w" fact="0.0987"/>
              <dgm:constr type="h" for="ch" forName="Child5" refType="h" fact="0.3124"/>
              <dgm:constr type="r" for="ch" forName="Accent4" refType="w" fact="0.6741"/>
              <dgm:constr type="t" for="ch" forName="Accent4" refType="h" fact="-0.0109"/>
              <dgm:constr type="w" for="ch" forName="Accent4" refType="w" fact="0.1496"/>
              <dgm:constr type="h" for="ch" forName="Accent4" refType="h" fact="0.806"/>
              <dgm:constr type="r" for="ch" forName="ParentBackground4" refType="w" fact="0.6487"/>
              <dgm:constr type="t" for="ch" forName="ParentBackground4" refType="h" fact="0.1262"/>
              <dgm:constr type="w" for="ch" forName="ParentBackground4" refType="w" fact="0.0987"/>
              <dgm:constr type="h" for="ch" forName="ParentBackground4" refType="h" fact="0.5319"/>
              <dgm:constr type="r" for="ch" forName="Child4" refType="w" fact="0.6487"/>
              <dgm:constr type="t" for="ch" forName="Child4" refType="h" fact="0.6876"/>
              <dgm:constr type="w" for="ch" forName="Child4" refType="w" fact="0.0987"/>
              <dgm:constr type="h" for="ch" forName="Child4" refType="h" fact="0.3124"/>
              <dgm:constr type="r" for="ch" forName="Accent3" refType="w" fact="0.7834"/>
              <dgm:constr type="t" for="ch" forName="Accent3" refType="h" fact="-0.0109"/>
              <dgm:constr type="w" for="ch" forName="Accent3" refType="w" fact="0.1496"/>
              <dgm:constr type="h" for="ch" forName="Accent3" refType="h" fact="0.806"/>
              <dgm:constr type="r" for="ch" forName="ParentBackground3" refType="w" fact="0.758"/>
              <dgm:constr type="t" for="ch" forName="ParentBackground3" refType="h" fact="0.1262"/>
              <dgm:constr type="w" for="ch" forName="ParentBackground3" refType="w" fact="0.0987"/>
              <dgm:constr type="h" for="ch" forName="ParentBackground3" refType="h" fact="0.5319"/>
              <dgm:constr type="r" for="ch" forName="Child3" refType="w" fact="0.758"/>
              <dgm:constr type="t" for="ch" forName="Child3" refType="h" fact="0.6876"/>
              <dgm:constr type="w" for="ch" forName="Child3" refType="w" fact="0.0987"/>
              <dgm:constr type="h" for="ch" forName="Child3" refType="h" fact="0.3124"/>
              <dgm:constr type="r" for="ch" forName="Accent2" refType="w" fact="0.8927"/>
              <dgm:constr type="t" for="ch" forName="Accent2" refType="h" fact="-0.0109"/>
              <dgm:constr type="w" for="ch" forName="Accent2" refType="w" fact="0.1496"/>
              <dgm:constr type="h" for="ch" forName="Accent2" refType="h" fact="0.806"/>
              <dgm:constr type="r" for="ch" forName="ParentBackground2" refType="w" fact="0.8673"/>
              <dgm:constr type="t" for="ch" forName="ParentBackground2" refType="h" fact="0.1262"/>
              <dgm:constr type="w" for="ch" forName="ParentBackground2" refType="w" fact="0.0987"/>
              <dgm:constr type="h" for="ch" forName="ParentBackground2" refType="h" fact="0.5319"/>
              <dgm:constr type="r" for="ch" forName="Child2" refType="w" fact="0.8673"/>
              <dgm:constr type="t" for="ch" forName="Child2" refType="h" fact="0.6876"/>
              <dgm:constr type="w" for="ch" forName="Child2" refType="w" fact="0.0987"/>
              <dgm:constr type="h" for="ch" forName="Child2" refType="h" fact="0.3124"/>
              <dgm:constr type="r" for="ch" forName="Accent1" refType="w" fact="1.002"/>
              <dgm:constr type="t" for="ch" forName="Accent1" refType="h" fact="-0.0109"/>
              <dgm:constr type="w" for="ch" forName="Accent1" refType="w" fact="0.1496"/>
              <dgm:constr type="h" for="ch" forName="Accent1" refType="h" fact="0.806"/>
              <dgm:constr type="r" for="ch" forName="ParentBackground1" refType="w" fact="0.9765"/>
              <dgm:constr type="t" for="ch" forName="ParentBackground1" refType="h" fact="0.1262"/>
              <dgm:constr type="w" for="ch" forName="ParentBackground1" refType="w" fact="0.0987"/>
              <dgm:constr type="h" for="ch" forName="ParentBackground1" refType="h" fact="0.5319"/>
              <dgm:constr type="r" for="ch" forName="Child1" refType="w" fact="0.9765"/>
              <dgm:constr type="t" for="ch" forName="Child1" refType="h" fact="0.6876"/>
              <dgm:constr type="w" for="ch" forName="Child1" refType="w" fact="0.0987"/>
              <dgm:constr type="h" for="ch" forName="Child1" refType="h" fact="0.3124"/>
            </dgm:constrLst>
          </dgm:if>
          <dgm:if name="Name26"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r" for="ch" forName="Parent10" refType="w" fact="0.0795"/>
              <dgm:constr type="t" for="ch" forName="Parent10" refType="h" fact="0.2022"/>
              <dgm:constr type="w" for="ch" forName="Parent10" refType="w" fact="0.0636"/>
              <dgm:constr type="h" for="ch" forName="Parent10" refType="h" fact="0.3799"/>
              <dgm:constr type="r" for="ch" forName="Parent9" refType="w" fact="0.178"/>
              <dgm:constr type="t" for="ch" forName="Parent9" refType="h" fact="0.2022"/>
              <dgm:constr type="w" for="ch" forName="Parent9" refType="w" fact="0.0636"/>
              <dgm:constr type="h" for="ch" forName="Parent9" refType="h" fact="0.3799"/>
              <dgm:constr type="r" for="ch" forName="Parent8" refType="w" fact="0.2765"/>
              <dgm:constr type="t" for="ch" forName="Parent8" refType="h" fact="0.2022"/>
              <dgm:constr type="w" for="ch" forName="Parent8" refType="w" fact="0.0636"/>
              <dgm:constr type="h" for="ch" forName="Parent8" refType="h" fact="0.3799"/>
              <dgm:constr type="r" for="ch" forName="Parent7" refType="w" fact="0.375"/>
              <dgm:constr type="t" for="ch" forName="Parent7" refType="h" fact="0.2022"/>
              <dgm:constr type="w" for="ch" forName="Parent7" refType="w" fact="0.0636"/>
              <dgm:constr type="h" for="ch" forName="Parent7" refType="h" fact="0.3799"/>
              <dgm:constr type="r" for="ch" forName="Parent6" refType="w" fact="0.4736"/>
              <dgm:constr type="t" for="ch" forName="Parent6" refType="h" fact="0.2022"/>
              <dgm:constr type="w" for="ch" forName="Parent6" refType="w" fact="0.0636"/>
              <dgm:constr type="h" for="ch" forName="Parent6" refType="h" fact="0.3799"/>
              <dgm:constr type="r" for="ch" forName="Parent5" refType="w" fact="0.5721"/>
              <dgm:constr type="t" for="ch" forName="Parent5" refType="h" fact="0.2022"/>
              <dgm:constr type="w" for="ch" forName="Parent5" refType="w" fact="0.0636"/>
              <dgm:constr type="h" for="ch" forName="Parent5" refType="h" fact="0.3799"/>
              <dgm:constr type="r" for="ch" forName="Parent4" refType="w" fact="0.6706"/>
              <dgm:constr type="t" for="ch" forName="Parent4" refType="h" fact="0.2022"/>
              <dgm:constr type="w" for="ch" forName="Parent4" refType="w" fact="0.0636"/>
              <dgm:constr type="h" for="ch" forName="Parent4" refType="h" fact="0.3799"/>
              <dgm:constr type="r" for="ch" forName="Parent3" refType="w" fact="0.7691"/>
              <dgm:constr type="t" for="ch" forName="Parent3" refType="h" fact="0.2022"/>
              <dgm:constr type="w" for="ch" forName="Parent3" refType="w" fact="0.0636"/>
              <dgm:constr type="h" for="ch" forName="Parent3" refType="h" fact="0.3799"/>
              <dgm:constr type="r" for="ch" forName="Parent2" refType="w" fact="0.8676"/>
              <dgm:constr type="t" for="ch" forName="Parent2" refType="h" fact="0.2022"/>
              <dgm:constr type="w" for="ch" forName="Parent2" refType="w" fact="0.0636"/>
              <dgm:constr type="h" for="ch" forName="Parent2" refType="h" fact="0.3799"/>
              <dgm:constr type="r" for="ch" forName="Parent1" refType="w" fact="0.9662"/>
              <dgm:constr type="t" for="ch" forName="Parent1" refType="h" fact="0.2022"/>
              <dgm:constr type="w" for="ch" forName="Parent1" refType="w" fact="0.0636"/>
              <dgm:constr type="h" for="ch" forName="Parent1" refType="h" fact="0.3799"/>
              <dgm:constr type="r" for="ch" forName="Accent10" refType="w" fact="0.0953"/>
              <dgm:constr type="t" for="ch" forName="Accent10" refType="h" fact="0.1072"/>
              <dgm:constr type="w" for="ch" forName="Accent10" refType="w" fact="0.0953"/>
              <dgm:constr type="h" for="ch" forName="Accent10" refType="h" fact="0.5699"/>
              <dgm:constr type="r" for="ch" forName="ParentBackground10" refType="w" fact="0.0922"/>
              <dgm:constr type="t" for="ch" forName="ParentBackground10" refType="h" fact="0.1262"/>
              <dgm:constr type="w" for="ch" forName="ParentBackground10" refType="w" fact="0.089"/>
              <dgm:constr type="h" for="ch" forName="ParentBackground10" refType="h" fact="0.5319"/>
              <dgm:constr type="r" for="ch" forName="Child10" refType="w" fact="0.0922"/>
              <dgm:constr type="t" for="ch" forName="Child10" refType="h" fact="0.6876"/>
              <dgm:constr type="w" for="ch" forName="Child10" refType="w" fact="0.089"/>
              <dgm:constr type="h" for="ch" forName="Child10" refType="h" fact="0.3124"/>
              <dgm:constr type="r" for="ch" forName="Accent9" refType="w" fact="0.2136"/>
              <dgm:constr type="t" for="ch" forName="Accent9" refType="h" fact="-0.0109"/>
              <dgm:constr type="w" for="ch" forName="Accent9" refType="w" fact="0.1348"/>
              <dgm:constr type="h" for="ch" forName="Accent9" refType="h" fact="0.806"/>
              <dgm:constr type="r" for="ch" forName="ParentBackground9" refType="w" fact="0.1907"/>
              <dgm:constr type="t" for="ch" forName="ParentBackground9" refType="h" fact="0.1262"/>
              <dgm:constr type="w" for="ch" forName="ParentBackground9" refType="w" fact="0.089"/>
              <dgm:constr type="h" for="ch" forName="ParentBackground9" refType="h" fact="0.5319"/>
              <dgm:constr type="r" for="ch" forName="Child9" refType="w" fact="0.1907"/>
              <dgm:constr type="t" for="ch" forName="Child9" refType="h" fact="0.6876"/>
              <dgm:constr type="w" for="ch" forName="Child9" refType="w" fact="0.089"/>
              <dgm:constr type="h" for="ch" forName="Child9" refType="h" fact="0.3124"/>
              <dgm:constr type="r" for="ch" forName="Accent8" refType="w" fact="0.3121"/>
              <dgm:constr type="t" for="ch" forName="Accent8" refType="h" fact="-0.0109"/>
              <dgm:constr type="w" for="ch" forName="Accent8" refType="w" fact="0.1348"/>
              <dgm:constr type="h" for="ch" forName="Accent8" refType="h" fact="0.806"/>
              <dgm:constr type="r" for="ch" forName="ParentBackground8" refType="w" fact="0.2892"/>
              <dgm:constr type="t" for="ch" forName="ParentBackground8" refType="h" fact="0.1262"/>
              <dgm:constr type="w" for="ch" forName="ParentBackground8" refType="w" fact="0.089"/>
              <dgm:constr type="h" for="ch" forName="ParentBackground8" refType="h" fact="0.5319"/>
              <dgm:constr type="r" for="ch" forName="Child8" refType="w" fact="0.2892"/>
              <dgm:constr type="t" for="ch" forName="Child8" refType="h" fact="0.6876"/>
              <dgm:constr type="w" for="ch" forName="Child8" refType="w" fact="0.089"/>
              <dgm:constr type="h" for="ch" forName="Child8" refType="h" fact="0.3124"/>
              <dgm:constr type="r" for="ch" forName="Accent7" refType="w" fact="0.4107"/>
              <dgm:constr type="t" for="ch" forName="Accent7" refType="h" fact="-0.0109"/>
              <dgm:constr type="w" for="ch" forName="Accent7" refType="w" fact="0.1348"/>
              <dgm:constr type="h" for="ch" forName="Accent7" refType="h" fact="0.806"/>
              <dgm:constr type="r" for="ch" forName="ParentBackground7" refType="w" fact="0.3877"/>
              <dgm:constr type="t" for="ch" forName="ParentBackground7" refType="h" fact="0.1262"/>
              <dgm:constr type="w" for="ch" forName="ParentBackground7" refType="w" fact="0.089"/>
              <dgm:constr type="h" for="ch" forName="ParentBackground7" refType="h" fact="0.5319"/>
              <dgm:constr type="r" for="ch" forName="Child7" refType="w" fact="0.3877"/>
              <dgm:constr type="t" for="ch" forName="Child7" refType="h" fact="0.6876"/>
              <dgm:constr type="w" for="ch" forName="Child7" refType="w" fact="0.089"/>
              <dgm:constr type="h" for="ch" forName="Child7" refType="h" fact="0.3124"/>
              <dgm:constr type="r" for="ch" forName="Accent6" refType="w" fact="0.5092"/>
              <dgm:constr type="t" for="ch" forName="Accent6" refType="h" fact="-0.0109"/>
              <dgm:constr type="w" for="ch" forName="Accent6" refType="w" fact="0.1348"/>
              <dgm:constr type="h" for="ch" forName="Accent6" refType="h" fact="0.806"/>
              <dgm:constr type="r" for="ch" forName="ParentBackground6" refType="w" fact="0.4863"/>
              <dgm:constr type="t" for="ch" forName="ParentBackground6" refType="h" fact="0.1262"/>
              <dgm:constr type="w" for="ch" forName="ParentBackground6" refType="w" fact="0.089"/>
              <dgm:constr type="h" for="ch" forName="ParentBackground6" refType="h" fact="0.5319"/>
              <dgm:constr type="r" for="ch" forName="Child6" refType="w" fact="0.4863"/>
              <dgm:constr type="t" for="ch" forName="Child6" refType="h" fact="0.6876"/>
              <dgm:constr type="w" for="ch" forName="Child6" refType="w" fact="0.089"/>
              <dgm:constr type="h" for="ch" forName="Child6" refType="h" fact="0.3124"/>
              <dgm:constr type="r" for="ch" forName="Accent5" refType="w" fact="0.6077"/>
              <dgm:constr type="t" for="ch" forName="Accent5" refType="h" fact="-0.0109"/>
              <dgm:constr type="w" for="ch" forName="Accent5" refType="w" fact="0.1348"/>
              <dgm:constr type="h" for="ch" forName="Accent5" refType="h" fact="0.806"/>
              <dgm:constr type="r" for="ch" forName="ParentBackground5" refType="w" fact="0.5848"/>
              <dgm:constr type="t" for="ch" forName="ParentBackground5" refType="h" fact="0.1262"/>
              <dgm:constr type="w" for="ch" forName="ParentBackground5" refType="w" fact="0.089"/>
              <dgm:constr type="h" for="ch" forName="ParentBackground5" refType="h" fact="0.5319"/>
              <dgm:constr type="r" for="ch" forName="Child5" refType="w" fact="0.5848"/>
              <dgm:constr type="t" for="ch" forName="Child5" refType="h" fact="0.6876"/>
              <dgm:constr type="w" for="ch" forName="Child5" refType="w" fact="0.089"/>
              <dgm:constr type="h" for="ch" forName="Child5" refType="h" fact="0.3124"/>
              <dgm:constr type="r" for="ch" forName="Accent4" refType="w" fact="0.7062"/>
              <dgm:constr type="t" for="ch" forName="Accent4" refType="h" fact="-0.0109"/>
              <dgm:constr type="w" for="ch" forName="Accent4" refType="w" fact="0.1348"/>
              <dgm:constr type="h" for="ch" forName="Accent4" refType="h" fact="0.806"/>
              <dgm:constr type="r" for="ch" forName="ParentBackground4" refType="w" fact="0.6833"/>
              <dgm:constr type="t" for="ch" forName="ParentBackground4" refType="h" fact="0.1262"/>
              <dgm:constr type="w" for="ch" forName="ParentBackground4" refType="w" fact="0.089"/>
              <dgm:constr type="h" for="ch" forName="ParentBackground4" refType="h" fact="0.5319"/>
              <dgm:constr type="r" for="ch" forName="Child4" refType="w" fact="0.6833"/>
              <dgm:constr type="t" for="ch" forName="Child4" refType="h" fact="0.6876"/>
              <dgm:constr type="w" for="ch" forName="Child4" refType="w" fact="0.089"/>
              <dgm:constr type="h" for="ch" forName="Child4" refType="h" fact="0.3124"/>
              <dgm:constr type="r" for="ch" forName="Accent3" refType="w" fact="0.8048"/>
              <dgm:constr type="t" for="ch" forName="Accent3" refType="h" fact="-0.0109"/>
              <dgm:constr type="w" for="ch" forName="Accent3" refType="w" fact="0.1348"/>
              <dgm:constr type="h" for="ch" forName="Accent3" refType="h" fact="0.806"/>
              <dgm:constr type="r" for="ch" forName="ParentBackground3" refType="w" fact="0.7818"/>
              <dgm:constr type="t" for="ch" forName="ParentBackground3" refType="h" fact="0.1262"/>
              <dgm:constr type="w" for="ch" forName="ParentBackground3" refType="w" fact="0.089"/>
              <dgm:constr type="h" for="ch" forName="ParentBackground3" refType="h" fact="0.5319"/>
              <dgm:constr type="r" for="ch" forName="Child3" refType="w" fact="0.7818"/>
              <dgm:constr type="t" for="ch" forName="Child3" refType="h" fact="0.6876"/>
              <dgm:constr type="w" for="ch" forName="Child3" refType="w" fact="0.089"/>
              <dgm:constr type="h" for="ch" forName="Child3" refType="h" fact="0.3124"/>
              <dgm:constr type="r" for="ch" forName="Accent2" refType="w" fact="0.9033"/>
              <dgm:constr type="t" for="ch" forName="Accent2" refType="h" fact="-0.0109"/>
              <dgm:constr type="w" for="ch" forName="Accent2" refType="w" fact="0.1348"/>
              <dgm:constr type="h" for="ch" forName="Accent2" refType="h" fact="0.806"/>
              <dgm:constr type="r" for="ch" forName="ParentBackground2" refType="w" fact="0.8804"/>
              <dgm:constr type="t" for="ch" forName="ParentBackground2" refType="h" fact="0.1262"/>
              <dgm:constr type="w" for="ch" forName="ParentBackground2" refType="w" fact="0.089"/>
              <dgm:constr type="h" for="ch" forName="ParentBackground2" refType="h" fact="0.5319"/>
              <dgm:constr type="r" for="ch" forName="Child2" refType="w" fact="0.8804"/>
              <dgm:constr type="t" for="ch" forName="Child2" refType="h" fact="0.6876"/>
              <dgm:constr type="w" for="ch" forName="Child2" refType="w" fact="0.089"/>
              <dgm:constr type="h" for="ch" forName="Child2" refType="h" fact="0.3124"/>
              <dgm:constr type="r" for="ch" forName="Accent1" refType="w" fact="1.0018"/>
              <dgm:constr type="t" for="ch" forName="Accent1" refType="h" fact="-0.0109"/>
              <dgm:constr type="w" for="ch" forName="Accent1" refType="w" fact="0.1348"/>
              <dgm:constr type="h" for="ch" forName="Accent1" refType="h" fact="0.806"/>
              <dgm:constr type="r" for="ch" forName="ParentBackground1" refType="w" fact="0.9789"/>
              <dgm:constr type="t" for="ch" forName="ParentBackground1" refType="h" fact="0.1262"/>
              <dgm:constr type="w" for="ch" forName="ParentBackground1" refType="w" fact="0.089"/>
              <dgm:constr type="h" for="ch" forName="ParentBackground1" refType="h" fact="0.5319"/>
              <dgm:constr type="r" for="ch" forName="Child1" refType="w" fact="0.9789"/>
              <dgm:constr type="t" for="ch" forName="Child1" refType="h" fact="0.6876"/>
              <dgm:constr type="w" for="ch" forName="Child1" refType="w" fact="0.089"/>
              <dgm:constr type="h" for="ch" forName="Child1" refType="h" fact="0.3124"/>
            </dgm:constrLst>
          </dgm:if>
          <dgm:else name="Name27">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r" for="ch" forName="Parent11" refType="w" fact="0.0723"/>
              <dgm:constr type="t" for="ch" forName="Parent11" refType="h" fact="0.2022"/>
              <dgm:constr type="w" for="ch" forName="Parent11" refType="w" fact="0.0579"/>
              <dgm:constr type="h" for="ch" forName="Parent11" refType="h" fact="0.3799"/>
              <dgm:constr type="r" for="ch" forName="Parent10" refType="w" fact="0.162"/>
              <dgm:constr type="t" for="ch" forName="Parent10" refType="h" fact="0.2022"/>
              <dgm:constr type="w" for="ch" forName="Parent10" refType="w" fact="0.0579"/>
              <dgm:constr type="h" for="ch" forName="Parent10" refType="h" fact="0.3799"/>
              <dgm:constr type="r" for="ch" forName="Parent9" refType="w" fact="0.2517"/>
              <dgm:constr type="t" for="ch" forName="Parent9" refType="h" fact="0.2022"/>
              <dgm:constr type="w" for="ch" forName="Parent9" refType="w" fact="0.0579"/>
              <dgm:constr type="h" for="ch" forName="Parent9" refType="h" fact="0.3799"/>
              <dgm:constr type="r" for="ch" forName="Parent8" refType="w" fact="0.3414"/>
              <dgm:constr type="t" for="ch" forName="Parent8" refType="h" fact="0.2022"/>
              <dgm:constr type="w" for="ch" forName="Parent8" refType="w" fact="0.0579"/>
              <dgm:constr type="h" for="ch" forName="Parent8" refType="h" fact="0.3799"/>
              <dgm:constr type="r" for="ch" forName="Parent7" refType="w" fact="0.4311"/>
              <dgm:constr type="t" for="ch" forName="Parent7" refType="h" fact="0.2022"/>
              <dgm:constr type="w" for="ch" forName="Parent7" refType="w" fact="0.0579"/>
              <dgm:constr type="h" for="ch" forName="Parent7" refType="h" fact="0.3799"/>
              <dgm:constr type="r" for="ch" forName="Parent6" refType="w" fact="0.5208"/>
              <dgm:constr type="t" for="ch" forName="Parent6" refType="h" fact="0.2022"/>
              <dgm:constr type="w" for="ch" forName="Parent6" refType="w" fact="0.0579"/>
              <dgm:constr type="h" for="ch" forName="Parent6" refType="h" fact="0.3799"/>
              <dgm:constr type="r" for="ch" forName="Parent5" refType="w" fact="0.6105"/>
              <dgm:constr type="t" for="ch" forName="Parent5" refType="h" fact="0.2022"/>
              <dgm:constr type="w" for="ch" forName="Parent5" refType="w" fact="0.0579"/>
              <dgm:constr type="h" for="ch" forName="Parent5" refType="h" fact="0.3799"/>
              <dgm:constr type="r" for="ch" forName="Parent4" refType="w" fact="0.7001"/>
              <dgm:constr type="t" for="ch" forName="Parent4" refType="h" fact="0.2022"/>
              <dgm:constr type="w" for="ch" forName="Parent4" refType="w" fact="0.0579"/>
              <dgm:constr type="h" for="ch" forName="Parent4" refType="h" fact="0.3799"/>
              <dgm:constr type="r" for="ch" forName="Parent3" refType="w" fact="0.7898"/>
              <dgm:constr type="t" for="ch" forName="Parent3" refType="h" fact="0.2022"/>
              <dgm:constr type="w" for="ch" forName="Parent3" refType="w" fact="0.0579"/>
              <dgm:constr type="h" for="ch" forName="Parent3" refType="h" fact="0.3799"/>
              <dgm:constr type="r" for="ch" forName="Parent2" refType="w" fact="0.8795"/>
              <dgm:constr type="t" for="ch" forName="Parent2" refType="h" fact="0.2022"/>
              <dgm:constr type="w" for="ch" forName="Parent2" refType="w" fact="0.0579"/>
              <dgm:constr type="h" for="ch" forName="Parent2" refType="h" fact="0.3799"/>
              <dgm:constr type="r" for="ch" forName="Parent1" refType="w" fact="0.9692"/>
              <dgm:constr type="t" for="ch" forName="Parent1" refType="h" fact="0.2022"/>
              <dgm:constr type="w" for="ch" forName="Parent1" refType="w" fact="0.0579"/>
              <dgm:constr type="h" for="ch" forName="Parent1" refType="h" fact="0.3799"/>
              <dgm:constr type="r" for="ch" forName="Accent11" refType="w" fact="0.0868"/>
              <dgm:constr type="t" for="ch" forName="Accent11" refType="h" fact="0.1072"/>
              <dgm:constr type="w" for="ch" forName="Accent11" refType="w" fact="0.0868"/>
              <dgm:constr type="h" for="ch" forName="Accent11" refType="h" fact="0.5699"/>
              <dgm:constr type="r" for="ch" forName="ParentBackground11" refType="w" fact="0.0839"/>
              <dgm:constr type="t" for="ch" forName="ParentBackground11" refType="h" fact="0.1262"/>
              <dgm:constr type="w" for="ch" forName="ParentBackground11" refType="w" fact="0.081"/>
              <dgm:constr type="h" for="ch" forName="ParentBackground11" refType="h" fact="0.5319"/>
              <dgm:constr type="r" for="ch" forName="Child11" refType="w" fact="0.0839"/>
              <dgm:constr type="t" for="ch" forName="Child11" refType="h" fact="0.6876"/>
              <dgm:constr type="w" for="ch" forName="Child11" refType="w" fact="0.081"/>
              <dgm:constr type="h" for="ch" forName="Child11" refType="h" fact="0.3124"/>
              <dgm:constr type="r" for="ch" forName="Accent10" refType="w" fact="0.1945"/>
              <dgm:constr type="t" for="ch" forName="Accent10" refType="h" fact="-0.0109"/>
              <dgm:constr type="w" for="ch" forName="Accent10" refType="w" fact="0.1228"/>
              <dgm:constr type="h" for="ch" forName="Accent10" refType="h" fact="0.806"/>
              <dgm:constr type="r" for="ch" forName="ParentBackground10" refType="w" fact="0.1736"/>
              <dgm:constr type="t" for="ch" forName="ParentBackground10" refType="h" fact="0.1262"/>
              <dgm:constr type="w" for="ch" forName="ParentBackground10" refType="w" fact="0.081"/>
              <dgm:constr type="h" for="ch" forName="ParentBackground10" refType="h" fact="0.5319"/>
              <dgm:constr type="r" for="ch" forName="Child10" refType="w" fact="0.1736"/>
              <dgm:constr type="t" for="ch" forName="Child10" refType="h" fact="0.6876"/>
              <dgm:constr type="w" for="ch" forName="Child10" refType="w" fact="0.081"/>
              <dgm:constr type="h" for="ch" forName="Child10" refType="h" fact="0.3124"/>
              <dgm:constr type="r" for="ch" forName="Accent9" refType="w" fact="0.2842"/>
              <dgm:constr type="t" for="ch" forName="Accent9" refType="h" fact="-0.0109"/>
              <dgm:constr type="w" for="ch" forName="Accent9" refType="w" fact="0.1228"/>
              <dgm:constr type="h" for="ch" forName="Accent9" refType="h" fact="0.806"/>
              <dgm:constr type="r" for="ch" forName="ParentBackground9" refType="w" fact="0.2633"/>
              <dgm:constr type="t" for="ch" forName="ParentBackground9" refType="h" fact="0.1262"/>
              <dgm:constr type="w" for="ch" forName="ParentBackground9" refType="w" fact="0.081"/>
              <dgm:constr type="h" for="ch" forName="ParentBackground9" refType="h" fact="0.5319"/>
              <dgm:constr type="r" for="ch" forName="Child9" refType="w" fact="0.2633"/>
              <dgm:constr type="t" for="ch" forName="Child9" refType="h" fact="0.6876"/>
              <dgm:constr type="w" for="ch" forName="Child9" refType="w" fact="0.081"/>
              <dgm:constr type="h" for="ch" forName="Child9" refType="h" fact="0.3124"/>
              <dgm:constr type="r" for="ch" forName="Accent8" refType="w" fact="0.3739"/>
              <dgm:constr type="t" for="ch" forName="Accent8" refType="h" fact="-0.0109"/>
              <dgm:constr type="w" for="ch" forName="Accent8" refType="w" fact="0.1228"/>
              <dgm:constr type="h" for="ch" forName="Accent8" refType="h" fact="0.806"/>
              <dgm:constr type="r" for="ch" forName="ParentBackground8" refType="w" fact="0.353"/>
              <dgm:constr type="t" for="ch" forName="ParentBackground8" refType="h" fact="0.1262"/>
              <dgm:constr type="w" for="ch" forName="ParentBackground8" refType="w" fact="0.081"/>
              <dgm:constr type="h" for="ch" forName="ParentBackground8" refType="h" fact="0.5319"/>
              <dgm:constr type="r" for="ch" forName="Child8" refType="w" fact="0.353"/>
              <dgm:constr type="t" for="ch" forName="Child8" refType="h" fact="0.6876"/>
              <dgm:constr type="w" for="ch" forName="Child8" refType="w" fact="0.081"/>
              <dgm:constr type="h" for="ch" forName="Child8" refType="h" fact="0.3124"/>
              <dgm:constr type="r" for="ch" forName="Accent7" refType="w" fact="0.4636"/>
              <dgm:constr type="t" for="ch" forName="Accent7" refType="h" fact="-0.0109"/>
              <dgm:constr type="w" for="ch" forName="Accent7" refType="w" fact="0.1228"/>
              <dgm:constr type="h" for="ch" forName="Accent7" refType="h" fact="0.806"/>
              <dgm:constr type="r" for="ch" forName="ParentBackground7" refType="w" fact="0.4427"/>
              <dgm:constr type="t" for="ch" forName="ParentBackground7" refType="h" fact="0.1262"/>
              <dgm:constr type="w" for="ch" forName="ParentBackground7" refType="w" fact="0.081"/>
              <dgm:constr type="h" for="ch" forName="ParentBackground7" refType="h" fact="0.5319"/>
              <dgm:constr type="r" for="ch" forName="Child7" refType="w" fact="0.4427"/>
              <dgm:constr type="t" for="ch" forName="Child7" refType="h" fact="0.6876"/>
              <dgm:constr type="w" for="ch" forName="Child7" refType="w" fact="0.081"/>
              <dgm:constr type="h" for="ch" forName="Child7" refType="h" fact="0.3124"/>
              <dgm:constr type="r" for="ch" forName="Accent6" refType="w" fact="0.5533"/>
              <dgm:constr type="t" for="ch" forName="Accent6" refType="h" fact="-0.0109"/>
              <dgm:constr type="w" for="ch" forName="Accent6" refType="w" fact="0.1228"/>
              <dgm:constr type="h" for="ch" forName="Accent6" refType="h" fact="0.806"/>
              <dgm:constr type="r" for="ch" forName="ParentBackground6" refType="w" fact="0.5323"/>
              <dgm:constr type="t" for="ch" forName="ParentBackground6" refType="h" fact="0.1262"/>
              <dgm:constr type="w" for="ch" forName="ParentBackground6" refType="w" fact="0.081"/>
              <dgm:constr type="h" for="ch" forName="ParentBackground6" refType="h" fact="0.5319"/>
              <dgm:constr type="r" for="ch" forName="Child6" refType="w" fact="0.5323"/>
              <dgm:constr type="t" for="ch" forName="Child6" refType="h" fact="0.6876"/>
              <dgm:constr type="w" for="ch" forName="Child6" refType="w" fact="0.081"/>
              <dgm:constr type="h" for="ch" forName="Child6" refType="h" fact="0.3124"/>
              <dgm:constr type="r" for="ch" forName="Accent5" refType="w" fact="0.6429"/>
              <dgm:constr type="t" for="ch" forName="Accent5" refType="h" fact="-0.0109"/>
              <dgm:constr type="w" for="ch" forName="Accent5" refType="w" fact="0.1228"/>
              <dgm:constr type="h" for="ch" forName="Accent5" refType="h" fact="0.806"/>
              <dgm:constr type="r" for="ch" forName="ParentBackground5" refType="w" fact="0.622"/>
              <dgm:constr type="t" for="ch" forName="ParentBackground5" refType="h" fact="0.1262"/>
              <dgm:constr type="w" for="ch" forName="ParentBackground5" refType="w" fact="0.081"/>
              <dgm:constr type="h" for="ch" forName="ParentBackground5" refType="h" fact="0.5319"/>
              <dgm:constr type="r" for="ch" forName="Child5" refType="w" fact="0.622"/>
              <dgm:constr type="t" for="ch" forName="Child5" refType="h" fact="0.6876"/>
              <dgm:constr type="w" for="ch" forName="Child5" refType="w" fact="0.081"/>
              <dgm:constr type="h" for="ch" forName="Child5" refType="h" fact="0.3124"/>
              <dgm:constr type="r" for="ch" forName="Accent4" refType="w" fact="0.7326"/>
              <dgm:constr type="t" for="ch" forName="Accent4" refType="h" fact="-0.0109"/>
              <dgm:constr type="w" for="ch" forName="Accent4" refType="w" fact="0.1228"/>
              <dgm:constr type="h" for="ch" forName="Accent4" refType="h" fact="0.806"/>
              <dgm:constr type="r" for="ch" forName="ParentBackground4" refType="w" fact="0.7117"/>
              <dgm:constr type="t" for="ch" forName="ParentBackground4" refType="h" fact="0.1262"/>
              <dgm:constr type="w" for="ch" forName="ParentBackground4" refType="w" fact="0.081"/>
              <dgm:constr type="h" for="ch" forName="ParentBackground4" refType="h" fact="0.5319"/>
              <dgm:constr type="r" for="ch" forName="Child4" refType="w" fact="0.7117"/>
              <dgm:constr type="t" for="ch" forName="Child4" refType="h" fact="0.6876"/>
              <dgm:constr type="w" for="ch" forName="Child4" refType="w" fact="0.081"/>
              <dgm:constr type="h" for="ch" forName="Child4" refType="h" fact="0.3124"/>
              <dgm:constr type="r" for="ch" forName="Accent3" refType="w" fact="0.8223"/>
              <dgm:constr type="t" for="ch" forName="Accent3" refType="h" fact="-0.0109"/>
              <dgm:constr type="w" for="ch" forName="Accent3" refType="w" fact="0.1228"/>
              <dgm:constr type="h" for="ch" forName="Accent3" refType="h" fact="0.806"/>
              <dgm:constr type="r" for="ch" forName="ParentBackground3" refType="w" fact="0.8014"/>
              <dgm:constr type="t" for="ch" forName="ParentBackground3" refType="h" fact="0.1262"/>
              <dgm:constr type="w" for="ch" forName="ParentBackground3" refType="w" fact="0.081"/>
              <dgm:constr type="h" for="ch" forName="ParentBackground3" refType="h" fact="0.5319"/>
              <dgm:constr type="r" for="ch" forName="Child3" refType="w" fact="0.8014"/>
              <dgm:constr type="t" for="ch" forName="Child3" refType="h" fact="0.6876"/>
              <dgm:constr type="w" for="ch" forName="Child3" refType="w" fact="0.081"/>
              <dgm:constr type="h" for="ch" forName="Child3" refType="h" fact="0.3124"/>
              <dgm:constr type="r" for="ch" forName="Accent2" refType="w" fact="0.912"/>
              <dgm:constr type="t" for="ch" forName="Accent2" refType="h" fact="-0.0109"/>
              <dgm:constr type="w" for="ch" forName="Accent2" refType="w" fact="0.1228"/>
              <dgm:constr type="h" for="ch" forName="Accent2" refType="h" fact="0.806"/>
              <dgm:constr type="r" for="ch" forName="ParentBackground2" refType="w" fact="0.8911"/>
              <dgm:constr type="t" for="ch" forName="ParentBackground2" refType="h" fact="0.1262"/>
              <dgm:constr type="w" for="ch" forName="ParentBackground2" refType="w" fact="0.081"/>
              <dgm:constr type="h" for="ch" forName="ParentBackground2" refType="h" fact="0.5319"/>
              <dgm:constr type="r" for="ch" forName="Child2" refType="w" fact="0.8911"/>
              <dgm:constr type="t" for="ch" forName="Child2" refType="h" fact="0.6876"/>
              <dgm:constr type="w" for="ch" forName="Child2" refType="w" fact="0.081"/>
              <dgm:constr type="h" for="ch" forName="Child2" refType="h" fact="0.3124"/>
              <dgm:constr type="r" for="ch" forName="Accent1" refType="w" fact="1.0017"/>
              <dgm:constr type="t" for="ch" forName="Accent1" refType="h" fact="-0.0109"/>
              <dgm:constr type="w" for="ch" forName="Accent1" refType="w" fact="0.1228"/>
              <dgm:constr type="h" for="ch" forName="Accent1" refType="h" fact="0.806"/>
              <dgm:constr type="r" for="ch" forName="ParentBackground1" refType="w" fact="0.9808"/>
              <dgm:constr type="t" for="ch" forName="ParentBackground1" refType="h" fact="0.1262"/>
              <dgm:constr type="w" for="ch" forName="ParentBackground1" refType="w" fact="0.081"/>
              <dgm:constr type="h" for="ch" forName="ParentBackground1" refType="h" fact="0.5319"/>
              <dgm:constr type="r" for="ch" forName="Child1" refType="w" fact="0.9808"/>
              <dgm:constr type="t" for="ch" forName="Child1" refType="h" fact="0.6876"/>
              <dgm:constr type="w" for="ch" forName="Child1" refType="w" fact="0.081"/>
              <dgm:constr type="h" for="ch" forName="Child1" refType="h" fact="0.3124"/>
            </dgm:constrLst>
          </dgm:else>
        </dgm:choose>
      </dgm:else>
    </dgm:choose>
    <dgm:forEach name="wrapper" axis="self" ptType="parTrans">
      <dgm:forEach name="accentRepeat" axis="self">
        <dgm:layoutNode name="Accent" styleLbl="node1">
          <dgm:alg type="sp"/>
          <dgm:choose name="Name28">
            <dgm:if name="Name29" axis="followSib" ptType="node" func="cnt" op="equ" val="0">
              <dgm:shape xmlns:r="http://schemas.openxmlformats.org/officeDocument/2006/relationships" type="ellipse" r:blip="">
                <dgm:adjLst/>
              </dgm:shape>
            </dgm:if>
            <dgm:else name="Name30">
              <dgm:choose name="Name31">
                <dgm:if name="Name32" axis="precedSib" ptType="node" func="cnt" op="equ" val="10">
                  <dgm:shape xmlns:r="http://schemas.openxmlformats.org/officeDocument/2006/relationships" type="ellipse" r:blip="">
                    <dgm:adjLst/>
                  </dgm:shape>
                </dgm:if>
                <dgm:else name="Name33">
                  <dgm:choose name="Name34">
                    <dgm:if name="Name35" func="var" arg="dir" op="equ" val="norm">
                      <dgm:shape xmlns:r="http://schemas.openxmlformats.org/officeDocument/2006/relationships" rot="45" type="teardrop" r:blip="">
                        <dgm:adjLst>
                          <dgm:adj idx="1" val="1"/>
                        </dgm:adjLst>
                      </dgm:shape>
                    </dgm:if>
                    <dgm:else name="Name36">
                      <dgm:shape xmlns:r="http://schemas.openxmlformats.org/officeDocument/2006/relationships" rot="225" type="teardrop" r:blip="">
                        <dgm:adjLst>
                          <dgm:adj idx="1" val="1"/>
                        </dgm:adjLst>
                      </dgm:shape>
                    </dgm:else>
                  </dgm:choose>
                </dgm:else>
              </dgm:choose>
            </dgm:else>
          </dgm:choose>
          <dgm:presOf/>
        </dgm:layoutNode>
      </dgm:forEach>
      <dgm:forEach name="parentBackgroundRepeat" axis="self">
        <dgm:layoutNode name="ParentBackground" styleLbl="fgAcc1">
          <dgm:alg type="sp"/>
          <dgm:shape xmlns:r="http://schemas.openxmlformats.org/officeDocument/2006/relationships" type="ellipse" r:blip="">
            <dgm:adjLst/>
          </dgm:shape>
          <dgm:presOf axis="self" ptType="node"/>
        </dgm:layoutNode>
      </dgm:forEach>
    </dgm:forEach>
    <dgm:forEach name="Name37" axis="ch" ptType="node" st="11" cnt="1">
      <dgm:layoutNode name="Accent11">
        <dgm:alg type="sp"/>
        <dgm:shape xmlns:r="http://schemas.openxmlformats.org/officeDocument/2006/relationships" r:blip="">
          <dgm:adjLst/>
        </dgm:shape>
        <dgm:presOf/>
        <dgm:constrLst/>
        <dgm:forEach name="Name38" ref="accentRepeat"/>
      </dgm:layoutNode>
      <dgm:layoutNode name="ParentBackground11">
        <dgm:alg type="sp"/>
        <dgm:shape xmlns:r="http://schemas.openxmlformats.org/officeDocument/2006/relationships" r:blip="">
          <dgm:adjLst/>
        </dgm:shape>
        <dgm:presOf/>
        <dgm:forEach name="Name39" ref="parentBackgroundRepeat"/>
      </dgm:layoutNode>
      <dgm:choose name="Name40">
        <dgm:if name="Name41" axis="ch" ptType="node" func="cnt" op="gte" val="1">
          <dgm:layoutNode name="Child1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2"/>
      </dgm:choose>
      <dgm:layoutNode name="Parent1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3" axis="ch" ptType="node" st="10" cnt="1">
      <dgm:layoutNode name="Accent10">
        <dgm:alg type="sp"/>
        <dgm:shape xmlns:r="http://schemas.openxmlformats.org/officeDocument/2006/relationships" r:blip="">
          <dgm:adjLst/>
        </dgm:shape>
        <dgm:presOf/>
        <dgm:constrLst/>
        <dgm:forEach name="Name44" ref="accentRepeat"/>
      </dgm:layoutNode>
      <dgm:layoutNode name="ParentBackground10">
        <dgm:alg type="sp"/>
        <dgm:shape xmlns:r="http://schemas.openxmlformats.org/officeDocument/2006/relationships" r:blip="">
          <dgm:adjLst/>
        </dgm:shape>
        <dgm:presOf/>
        <dgm:forEach name="Name45" ref="parentBackgroundRepeat"/>
      </dgm:layoutNode>
      <dgm:choose name="Name46">
        <dgm:if name="Name47" axis="ch" ptType="node" func="cnt" op="gte" val="1">
          <dgm:layoutNode name="Child10"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8"/>
      </dgm:choose>
      <dgm:layoutNode name="Parent10"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9" axis="ch" ptType="node" st="9" cnt="1">
      <dgm:layoutNode name="Accent9">
        <dgm:alg type="sp"/>
        <dgm:shape xmlns:r="http://schemas.openxmlformats.org/officeDocument/2006/relationships" r:blip="">
          <dgm:adjLst/>
        </dgm:shape>
        <dgm:presOf/>
        <dgm:constrLst/>
        <dgm:forEach name="Name50" ref="accentRepeat"/>
      </dgm:layoutNode>
      <dgm:layoutNode name="ParentBackground9">
        <dgm:alg type="sp"/>
        <dgm:shape xmlns:r="http://schemas.openxmlformats.org/officeDocument/2006/relationships" r:blip="">
          <dgm:adjLst/>
        </dgm:shape>
        <dgm:presOf/>
        <dgm:forEach name="Name51" ref="parentBackgroundRepeat"/>
      </dgm:layoutNode>
      <dgm:choose name="Name52">
        <dgm:if name="Name53" axis="ch" ptType="node" func="cnt" op="gte" val="1">
          <dgm:layoutNode name="Child9"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4"/>
      </dgm:choose>
      <dgm:layoutNode name="Parent9"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55" axis="ch" ptType="node" st="8" cnt="1">
      <dgm:layoutNode name="Accent8">
        <dgm:alg type="sp"/>
        <dgm:shape xmlns:r="http://schemas.openxmlformats.org/officeDocument/2006/relationships" r:blip="">
          <dgm:adjLst/>
        </dgm:shape>
        <dgm:presOf/>
        <dgm:constrLst/>
        <dgm:forEach name="Name56" ref="accentRepeat"/>
      </dgm:layoutNode>
      <dgm:layoutNode name="ParentBackground8">
        <dgm:alg type="sp"/>
        <dgm:shape xmlns:r="http://schemas.openxmlformats.org/officeDocument/2006/relationships" r:blip="">
          <dgm:adjLst/>
        </dgm:shape>
        <dgm:presOf/>
        <dgm:forEach name="Name57" ref="parentBackgroundRepeat"/>
      </dgm:layoutNode>
      <dgm:choose name="Name58">
        <dgm:if name="Name59" axis="ch" ptType="node" func="cnt" op="gte" val="1">
          <dgm:layoutNode name="Child8"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0"/>
      </dgm:choose>
      <dgm:layoutNode name="Parent8"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1" axis="ch" ptType="node" st="7" cnt="1">
      <dgm:layoutNode name="Accent7">
        <dgm:alg type="sp"/>
        <dgm:shape xmlns:r="http://schemas.openxmlformats.org/officeDocument/2006/relationships" r:blip="">
          <dgm:adjLst/>
        </dgm:shape>
        <dgm:presOf/>
        <dgm:constrLst/>
        <dgm:forEach name="Name62" ref="accentRepeat"/>
      </dgm:layoutNode>
      <dgm:layoutNode name="ParentBackground7">
        <dgm:alg type="sp"/>
        <dgm:shape xmlns:r="http://schemas.openxmlformats.org/officeDocument/2006/relationships" r:blip="">
          <dgm:adjLst/>
        </dgm:shape>
        <dgm:presOf/>
        <dgm:forEach name="Name63" ref="parentBackgroundRepeat"/>
      </dgm:layoutNode>
      <dgm:choose name="Name64">
        <dgm:if name="Name65" axis="ch" ptType="node" func="cnt" op="gte" val="1">
          <dgm:layoutNode name="Child7"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6"/>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7" axis="ch" ptType="node" st="6" cnt="1">
      <dgm:layoutNode name="Accent6">
        <dgm:alg type="sp"/>
        <dgm:shape xmlns:r="http://schemas.openxmlformats.org/officeDocument/2006/relationships" r:blip="">
          <dgm:adjLst/>
        </dgm:shape>
        <dgm:presOf/>
        <dgm:constrLst/>
        <dgm:forEach name="Name68" ref="accentRepeat"/>
      </dgm:layoutNode>
      <dgm:layoutNode name="ParentBackground6">
        <dgm:alg type="sp"/>
        <dgm:shape xmlns:r="http://schemas.openxmlformats.org/officeDocument/2006/relationships" r:blip="">
          <dgm:adjLst/>
        </dgm:shape>
        <dgm:presOf/>
        <dgm:forEach name="Name69" ref="parentBackgroundRepeat"/>
      </dgm:layoutNode>
      <dgm:choose name="Name70">
        <dgm:if name="Name71" axis="ch" ptType="node" func="cnt" op="gte" val="1">
          <dgm:layoutNode name="Child6"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3" axis="ch" ptType="node" st="5" cnt="1">
      <dgm:layoutNode name="Accent5">
        <dgm:alg type="sp"/>
        <dgm:shape xmlns:r="http://schemas.openxmlformats.org/officeDocument/2006/relationships" r:blip="">
          <dgm:adjLst/>
        </dgm:shape>
        <dgm:presOf/>
        <dgm:constrLst/>
        <dgm:forEach name="Name74" ref="accentRepeat"/>
      </dgm:layoutNode>
      <dgm:layoutNode name="ParentBackground5">
        <dgm:alg type="sp"/>
        <dgm:shape xmlns:r="http://schemas.openxmlformats.org/officeDocument/2006/relationships" r:blip="">
          <dgm:adjLst/>
        </dgm:shape>
        <dgm:presOf/>
        <dgm:forEach name="Name75" ref="parentBackgroundRepeat"/>
      </dgm:layoutNode>
      <dgm:choose name="Name76">
        <dgm:if name="Name77" axis="ch" ptType="node" func="cnt" op="gte" val="1">
          <dgm:layoutNode name="Child5"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8"/>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9" axis="ch" ptType="node" st="4" cnt="1">
      <dgm:layoutNode name="Accent4">
        <dgm:alg type="sp"/>
        <dgm:shape xmlns:r="http://schemas.openxmlformats.org/officeDocument/2006/relationships" r:blip="">
          <dgm:adjLst/>
        </dgm:shape>
        <dgm:presOf/>
        <dgm:constrLst/>
        <dgm:forEach name="Name80" ref="accentRepeat"/>
      </dgm:layoutNode>
      <dgm:layoutNode name="ParentBackground4">
        <dgm:alg type="sp"/>
        <dgm:shape xmlns:r="http://schemas.openxmlformats.org/officeDocument/2006/relationships" r:blip="">
          <dgm:adjLst/>
        </dgm:shape>
        <dgm:presOf/>
        <dgm:forEach name="Name81" ref="parentBackgroundRepeat"/>
      </dgm:layoutNode>
      <dgm:choose name="Name82">
        <dgm:if name="Name83" axis="ch" ptType="node" func="cnt" op="gte" val="1">
          <dgm:layoutNode name="Child4"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layoutNode name="ParentBackground3">
        <dgm:alg type="sp"/>
        <dgm:shape xmlns:r="http://schemas.openxmlformats.org/officeDocument/2006/relationships" r:blip="">
          <dgm:adjLst/>
        </dgm:shape>
        <dgm:presOf/>
        <dgm:forEach name="Name87" ref="parentBackgroundRepeat"/>
      </dgm:layoutNode>
      <dgm:choose name="Name88">
        <dgm:if name="Name89" axis="ch" ptType="node" func="cnt" op="gte" val="1">
          <dgm:layoutNode name="Child3"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1" axis="ch" ptType="node" st="2" cnt="1">
      <dgm:layoutNode name="Accent2">
        <dgm:alg type="sp"/>
        <dgm:shape xmlns:r="http://schemas.openxmlformats.org/officeDocument/2006/relationships" r:blip="">
          <dgm:adjLst/>
        </dgm:shape>
        <dgm:presOf/>
        <dgm:constrLst/>
        <dgm:forEach name="Name92" ref="accentRepeat"/>
      </dgm:layoutNode>
      <dgm:layoutNode name="ParentBackground2" styleLbl="fgAcc1">
        <dgm:alg type="sp"/>
        <dgm:shape xmlns:r="http://schemas.openxmlformats.org/officeDocument/2006/relationships" r:blip="">
          <dgm:adjLst/>
        </dgm:shape>
        <dgm:presOf/>
        <dgm:forEach name="Name93" ref="parentBackgroundRepeat"/>
      </dgm:layoutNode>
      <dgm:choose name="Name94">
        <dgm:if name="Name95" axis="ch" ptType="node" func="cnt" op="gte" val="1">
          <dgm:layoutNode name="Child2"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6"/>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7" axis="ch" ptType="node" cnt="1">
      <dgm:layoutNode name="Accent1">
        <dgm:alg type="sp"/>
        <dgm:shape xmlns:r="http://schemas.openxmlformats.org/officeDocument/2006/relationships" r:blip="">
          <dgm:adjLst/>
        </dgm:shape>
        <dgm:presOf/>
        <dgm:constrLst/>
        <dgm:forEach name="Name98" ref="accentRepeat"/>
      </dgm:layoutNode>
      <dgm:layoutNode name="ParentBackground1">
        <dgm:alg type="sp"/>
        <dgm:shape xmlns:r="http://schemas.openxmlformats.org/officeDocument/2006/relationships" r:blip="">
          <dgm:adjLst/>
        </dgm:shape>
        <dgm:presOf/>
        <dgm:forEach name="Name99" ref="parentBackgroundRepeat"/>
      </dgm:layoutNode>
      <dgm:choose name="Name100">
        <dgm:if name="Name101" axis="ch" ptType="node" func="cnt" op="gte" val="1">
          <dgm:layoutNode name="Child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02"/>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605</Words>
  <Characters>3453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nderitu</dc:creator>
  <cp:keywords/>
  <dc:description/>
  <cp:lastModifiedBy>Mercy Maina</cp:lastModifiedBy>
  <cp:revision>2</cp:revision>
  <dcterms:created xsi:type="dcterms:W3CDTF">2024-07-30T16:15:00Z</dcterms:created>
  <dcterms:modified xsi:type="dcterms:W3CDTF">2024-07-30T16:15:00Z</dcterms:modified>
</cp:coreProperties>
</file>